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ind w:firstLine="420" w:firstLineChars="0"/>
        <w:jc w:val="center"/>
        <w:rPr>
          <w:rFonts w:hint="default" w:ascii="微软雅黑" w:hAnsi="微软雅黑" w:cs="微软雅黑"/>
          <w:b/>
          <w:bCs/>
          <w:sz w:val="44"/>
          <w:szCs w:val="44"/>
          <w:lang w:val="en-US" w:eastAsia="zh-CN"/>
        </w:rPr>
      </w:pPr>
      <w:r>
        <w:rPr>
          <w:rFonts w:hint="eastAsia" w:ascii="微软雅黑" w:hAnsi="微软雅黑" w:eastAsia="微软雅黑" w:cs="微软雅黑"/>
          <w:b/>
          <w:bCs/>
          <w:sz w:val="44"/>
          <w:szCs w:val="44"/>
          <w:lang w:val="en-US" w:eastAsia="zh-CN"/>
        </w:rPr>
        <w:t>试点院校</w:t>
      </w:r>
      <w:r>
        <w:rPr>
          <w:rFonts w:hint="eastAsia" w:ascii="微软雅黑" w:hAnsi="微软雅黑" w:cs="微软雅黑"/>
          <w:b/>
          <w:bCs/>
          <w:sz w:val="44"/>
          <w:szCs w:val="44"/>
          <w:lang w:val="en-US" w:eastAsia="zh-CN"/>
        </w:rPr>
        <w:t>业务平台</w:t>
      </w:r>
      <w:r>
        <w:rPr>
          <w:rFonts w:hint="eastAsia" w:ascii="微软雅黑" w:hAnsi="微软雅黑" w:cs="微软雅黑"/>
          <w:b/>
          <w:bCs/>
          <w:sz w:val="44"/>
          <w:szCs w:val="44"/>
          <w:lang w:val="en-US" w:eastAsia="zh-CN"/>
        </w:rPr>
        <w:br w:type="textWrapping"/>
      </w:r>
      <w:r>
        <w:rPr>
          <w:rFonts w:hint="eastAsia" w:ascii="微软雅黑" w:hAnsi="微软雅黑" w:cs="微软雅黑"/>
          <w:b/>
          <w:bCs/>
          <w:sz w:val="44"/>
          <w:szCs w:val="44"/>
          <w:lang w:val="en-US" w:eastAsia="zh-CN"/>
        </w:rPr>
        <w:t>考务组织模块</w:t>
      </w:r>
    </w:p>
    <w:p>
      <w:pPr>
        <w:bidi w:val="0"/>
        <w:ind w:firstLine="420" w:firstLineChars="0"/>
        <w:jc w:val="center"/>
        <w:rPr>
          <w:rFonts w:hint="eastAsia"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lang w:val="en-US" w:eastAsia="zh-CN"/>
        </w:rPr>
        <w:t>操作手册</w:t>
      </w:r>
    </w:p>
    <w:p>
      <w:pPr>
        <w:bidi w:val="0"/>
        <w:ind w:firstLine="420" w:firstLineChars="0"/>
        <w:jc w:val="center"/>
        <w:rPr>
          <w:rFonts w:hint="eastAsia"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lang w:val="en-US" w:eastAsia="zh-CN"/>
        </w:rPr>
        <w:t>（V1.</w:t>
      </w:r>
      <w:r>
        <w:rPr>
          <w:rFonts w:hint="default" w:ascii="微软雅黑" w:hAnsi="微软雅黑" w:cs="微软雅黑"/>
          <w:b/>
          <w:bCs/>
          <w:sz w:val="44"/>
          <w:szCs w:val="44"/>
          <w:lang w:eastAsia="zh-CN"/>
        </w:rPr>
        <w:t>3</w:t>
      </w:r>
      <w:r>
        <w:rPr>
          <w:rFonts w:hint="eastAsia" w:ascii="微软雅黑" w:hAnsi="微软雅黑" w:eastAsia="微软雅黑" w:cs="微软雅黑"/>
          <w:b/>
          <w:bCs/>
          <w:sz w:val="44"/>
          <w:szCs w:val="44"/>
          <w:lang w:val="en-US" w:eastAsia="zh-CN"/>
        </w:rPr>
        <w:t>版）</w:t>
      </w:r>
    </w:p>
    <w:p>
      <w:pPr>
        <w:bidi w:val="0"/>
        <w:ind w:firstLine="420" w:firstLineChars="0"/>
        <w:jc w:val="center"/>
        <w:rPr>
          <w:rFonts w:hint="eastAsia" w:ascii="微软雅黑" w:hAnsi="微软雅黑" w:eastAsia="微软雅黑" w:cs="微软雅黑"/>
          <w:b/>
          <w:bCs/>
          <w:sz w:val="44"/>
          <w:szCs w:val="44"/>
          <w:lang w:val="en-US" w:eastAsia="zh-CN"/>
        </w:rPr>
      </w:pPr>
    </w:p>
    <w:p>
      <w:pPr>
        <w:bidi w:val="0"/>
        <w:ind w:firstLine="420" w:firstLineChars="0"/>
        <w:jc w:val="center"/>
        <w:rPr>
          <w:rFonts w:hint="eastAsia" w:ascii="微软雅黑" w:hAnsi="微软雅黑" w:eastAsia="微软雅黑" w:cs="微软雅黑"/>
          <w:b/>
          <w:bCs/>
          <w:sz w:val="44"/>
          <w:szCs w:val="44"/>
          <w:lang w:val="en-US" w:eastAsia="zh-CN"/>
        </w:rPr>
      </w:pPr>
    </w:p>
    <w:p>
      <w:pPr>
        <w:bidi w:val="0"/>
        <w:ind w:firstLine="420" w:firstLineChars="0"/>
        <w:jc w:val="center"/>
        <w:rPr>
          <w:rFonts w:hint="eastAsia" w:ascii="微软雅黑" w:hAnsi="微软雅黑" w:eastAsia="微软雅黑" w:cs="微软雅黑"/>
          <w:b/>
          <w:bCs/>
          <w:sz w:val="44"/>
          <w:szCs w:val="44"/>
          <w:lang w:val="en-US" w:eastAsia="zh-CN"/>
        </w:rPr>
      </w:pPr>
    </w:p>
    <w:p>
      <w:pPr>
        <w:bidi w:val="0"/>
        <w:ind w:firstLine="420" w:firstLineChars="0"/>
        <w:jc w:val="center"/>
        <w:rPr>
          <w:rFonts w:hint="eastAsia" w:ascii="微软雅黑" w:hAnsi="微软雅黑" w:eastAsia="微软雅黑" w:cs="微软雅黑"/>
          <w:b/>
          <w:bCs/>
          <w:sz w:val="44"/>
          <w:szCs w:val="44"/>
          <w:lang w:val="en-US" w:eastAsia="zh-CN"/>
        </w:rPr>
      </w:pPr>
    </w:p>
    <w:p>
      <w:pPr>
        <w:bidi w:val="0"/>
        <w:ind w:firstLine="420" w:firstLineChars="0"/>
        <w:jc w:val="center"/>
        <w:rPr>
          <w:rFonts w:hint="eastAsia" w:ascii="微软雅黑" w:hAnsi="微软雅黑" w:eastAsia="微软雅黑" w:cs="微软雅黑"/>
          <w:b/>
          <w:bCs/>
          <w:sz w:val="44"/>
          <w:szCs w:val="44"/>
          <w:lang w:val="en-US" w:eastAsia="zh-CN"/>
        </w:rPr>
      </w:pPr>
    </w:p>
    <w:p>
      <w:pPr>
        <w:bidi w:val="0"/>
        <w:ind w:firstLine="420" w:firstLineChars="0"/>
        <w:jc w:val="center"/>
        <w:rPr>
          <w:rFonts w:hint="eastAsia" w:ascii="微软雅黑" w:hAnsi="微软雅黑" w:eastAsia="微软雅黑" w:cs="微软雅黑"/>
          <w:b/>
          <w:bCs/>
          <w:sz w:val="44"/>
          <w:szCs w:val="44"/>
          <w:lang w:val="en-US" w:eastAsia="zh-CN"/>
        </w:rPr>
      </w:pPr>
    </w:p>
    <w:p>
      <w:pPr>
        <w:bidi w:val="0"/>
        <w:ind w:firstLine="420" w:firstLineChars="0"/>
        <w:jc w:val="center"/>
        <w:rPr>
          <w:rFonts w:hint="eastAsia" w:ascii="微软雅黑" w:hAnsi="微软雅黑" w:eastAsia="微软雅黑" w:cs="微软雅黑"/>
          <w:b/>
          <w:bCs/>
          <w:sz w:val="44"/>
          <w:szCs w:val="44"/>
          <w:lang w:val="en-US" w:eastAsia="zh-CN"/>
        </w:rPr>
      </w:pPr>
    </w:p>
    <w:p>
      <w:pPr>
        <w:bidi w:val="0"/>
        <w:ind w:firstLine="420" w:firstLineChars="0"/>
        <w:jc w:val="center"/>
        <w:rPr>
          <w:rFonts w:hint="eastAsia" w:ascii="微软雅黑" w:hAnsi="微软雅黑" w:eastAsia="微软雅黑" w:cs="微软雅黑"/>
          <w:b/>
          <w:bCs/>
          <w:sz w:val="44"/>
          <w:szCs w:val="44"/>
          <w:lang w:val="en-US" w:eastAsia="zh-CN"/>
        </w:rPr>
      </w:pPr>
    </w:p>
    <w:p>
      <w:pPr>
        <w:jc w:val="center"/>
        <w:rPr>
          <w:rFonts w:hint="eastAsia"/>
          <w:b/>
          <w:bCs/>
          <w:sz w:val="44"/>
          <w:szCs w:val="44"/>
          <w:lang w:val="en-US" w:eastAsia="zh-CN"/>
        </w:rPr>
      </w:pPr>
    </w:p>
    <w:p>
      <w:pPr>
        <w:bidi w:val="0"/>
        <w:ind w:firstLine="420" w:firstLineChars="0"/>
        <w:jc w:val="center"/>
        <w:rPr>
          <w:rFonts w:hint="eastAsia"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lang w:val="en-US" w:eastAsia="zh-CN"/>
        </w:rPr>
        <w:t>2020年</w:t>
      </w:r>
      <w:r>
        <w:rPr>
          <w:rFonts w:hint="eastAsia" w:ascii="微软雅黑" w:hAnsi="微软雅黑" w:cs="微软雅黑"/>
          <w:b/>
          <w:bCs/>
          <w:sz w:val="44"/>
          <w:szCs w:val="44"/>
          <w:lang w:val="en-US" w:eastAsia="zh-CN"/>
        </w:rPr>
        <w:t>6</w:t>
      </w:r>
      <w:r>
        <w:rPr>
          <w:rFonts w:hint="eastAsia" w:ascii="微软雅黑" w:hAnsi="微软雅黑" w:eastAsia="微软雅黑" w:cs="微软雅黑"/>
          <w:b/>
          <w:bCs/>
          <w:sz w:val="44"/>
          <w:szCs w:val="44"/>
          <w:lang w:val="en-US" w:eastAsia="zh-CN"/>
        </w:rPr>
        <w:t>月</w:t>
      </w:r>
      <w:r>
        <w:rPr>
          <w:rFonts w:hint="eastAsia" w:ascii="微软雅黑" w:hAnsi="微软雅黑" w:cs="微软雅黑"/>
          <w:b/>
          <w:bCs/>
          <w:sz w:val="44"/>
          <w:szCs w:val="44"/>
          <w:lang w:val="en-US" w:eastAsia="zh-CN"/>
        </w:rPr>
        <w:t>12</w:t>
      </w:r>
      <w:r>
        <w:rPr>
          <w:rFonts w:hint="eastAsia" w:ascii="微软雅黑" w:hAnsi="微软雅黑" w:eastAsia="微软雅黑" w:cs="微软雅黑"/>
          <w:b/>
          <w:bCs/>
          <w:sz w:val="44"/>
          <w:szCs w:val="44"/>
          <w:lang w:val="en-US" w:eastAsia="zh-CN"/>
        </w:rPr>
        <w:t>日</w:t>
      </w:r>
    </w:p>
    <w:p>
      <w:pPr>
        <w:bidi w:val="0"/>
        <w:ind w:firstLine="420" w:firstLineChars="0"/>
        <w:jc w:val="center"/>
        <w:rPr>
          <w:rFonts w:hint="eastAsia" w:ascii="微软雅黑" w:hAnsi="微软雅黑" w:eastAsia="微软雅黑" w:cs="微软雅黑"/>
          <w:b/>
          <w:bCs/>
          <w:sz w:val="44"/>
          <w:szCs w:val="44"/>
          <w:lang w:val="en-US" w:eastAsia="zh-CN"/>
        </w:rPr>
      </w:pPr>
    </w:p>
    <w:p>
      <w:pPr>
        <w:bidi w:val="0"/>
        <w:jc w:val="both"/>
        <w:rPr>
          <w:rFonts w:hint="eastAsia" w:ascii="微软雅黑" w:hAnsi="微软雅黑" w:eastAsia="微软雅黑" w:cs="微软雅黑"/>
          <w:b/>
          <w:bCs/>
          <w:sz w:val="44"/>
          <w:szCs w:val="44"/>
          <w:lang w:val="en-US" w:eastAsia="zh-CN"/>
        </w:rPr>
      </w:pPr>
    </w:p>
    <w:sdt>
      <w:sdtPr>
        <w:rPr>
          <w:rFonts w:ascii="宋体" w:hAnsi="宋体" w:eastAsia="宋体" w:cstheme="minorBidi"/>
          <w:b/>
          <w:bCs/>
          <w:kern w:val="2"/>
          <w:sz w:val="30"/>
          <w:szCs w:val="30"/>
          <w:lang w:val="en-US" w:eastAsia="zh-CN" w:bidi="ar-SA"/>
        </w:rPr>
        <w:id w:val="147456446"/>
        <w15:color w:val="DBDBDB"/>
      </w:sdtPr>
      <w:sdtEndPr>
        <w:rPr>
          <w:rFonts w:hint="eastAsia" w:ascii="微软雅黑" w:hAnsi="微软雅黑" w:eastAsia="微软雅黑" w:cs="微软雅黑"/>
          <w:b/>
          <w:bCs/>
          <w:kern w:val="2"/>
          <w:sz w:val="24"/>
          <w:szCs w:val="44"/>
          <w:lang w:val="en-US" w:eastAsia="zh-CN" w:bidi="ar-SA"/>
        </w:rPr>
      </w:sdtEndPr>
      <w:sdtContent>
        <w:p>
          <w:pPr>
            <w:spacing w:before="0" w:beforeLines="0" w:after="0" w:afterLines="0" w:line="240" w:lineRule="auto"/>
            <w:ind w:left="0" w:leftChars="0" w:right="0" w:rightChars="0" w:firstLine="0" w:firstLineChars="0"/>
            <w:jc w:val="center"/>
            <w:rPr>
              <w:b/>
              <w:bCs/>
              <w:sz w:val="30"/>
              <w:szCs w:val="30"/>
            </w:rPr>
          </w:pPr>
          <w:r>
            <w:rPr>
              <w:rFonts w:ascii="宋体" w:hAnsi="宋体" w:eastAsia="宋体"/>
              <w:b/>
              <w:bCs/>
              <w:sz w:val="30"/>
              <w:szCs w:val="30"/>
            </w:rPr>
            <w:t>目录</w:t>
          </w:r>
        </w:p>
        <w:p>
          <w:pPr>
            <w:pStyle w:val="5"/>
            <w:tabs>
              <w:tab w:val="right" w:leader="dot" w:pos="8306"/>
            </w:tabs>
          </w:pPr>
          <w:r>
            <w:rPr>
              <w:rFonts w:hint="eastAsia" w:ascii="微软雅黑" w:hAnsi="微软雅黑" w:eastAsia="微软雅黑" w:cs="微软雅黑"/>
              <w:b/>
              <w:bCs/>
              <w:sz w:val="44"/>
              <w:szCs w:val="44"/>
              <w:lang w:val="en-US" w:eastAsia="zh-CN"/>
            </w:rPr>
            <w:fldChar w:fldCharType="begin"/>
          </w:r>
          <w:r>
            <w:rPr>
              <w:rFonts w:hint="eastAsia" w:ascii="微软雅黑" w:hAnsi="微软雅黑" w:eastAsia="微软雅黑" w:cs="微软雅黑"/>
              <w:b/>
              <w:bCs/>
              <w:sz w:val="44"/>
              <w:szCs w:val="44"/>
              <w:lang w:val="en-US" w:eastAsia="zh-CN"/>
            </w:rPr>
            <w:instrText xml:space="preserve">TOC \o "1-2" \h \u </w:instrText>
          </w:r>
          <w:r>
            <w:rPr>
              <w:rFonts w:hint="eastAsia" w:ascii="微软雅黑" w:hAnsi="微软雅黑" w:eastAsia="微软雅黑" w:cs="微软雅黑"/>
              <w:b/>
              <w:bCs/>
              <w:sz w:val="44"/>
              <w:szCs w:val="44"/>
              <w:lang w:val="en-US" w:eastAsia="zh-CN"/>
            </w:rPr>
            <w:fldChar w:fldCharType="separate"/>
          </w:r>
          <w:r>
            <w:rPr>
              <w:rFonts w:hint="eastAsia" w:ascii="微软雅黑" w:hAnsi="微软雅黑" w:eastAsia="微软雅黑" w:cs="微软雅黑"/>
              <w:bCs/>
              <w:szCs w:val="44"/>
              <w:lang w:val="en-US" w:eastAsia="zh-CN"/>
            </w:rPr>
            <w:fldChar w:fldCharType="begin"/>
          </w:r>
          <w:r>
            <w:rPr>
              <w:rFonts w:hint="eastAsia" w:ascii="微软雅黑" w:hAnsi="微软雅黑" w:eastAsia="微软雅黑" w:cs="微软雅黑"/>
              <w:bCs/>
              <w:szCs w:val="44"/>
              <w:lang w:val="en-US" w:eastAsia="zh-CN"/>
            </w:rPr>
            <w:instrText xml:space="preserve"> HYPERLINK \l _Toc913505666 </w:instrText>
          </w:r>
          <w:r>
            <w:rPr>
              <w:rFonts w:hint="eastAsia" w:ascii="微软雅黑" w:hAnsi="微软雅黑" w:eastAsia="微软雅黑" w:cs="微软雅黑"/>
              <w:bCs/>
              <w:szCs w:val="44"/>
              <w:lang w:val="en-US" w:eastAsia="zh-CN"/>
            </w:rPr>
            <w:fldChar w:fldCharType="separate"/>
          </w:r>
          <w:r>
            <w:rPr>
              <w:rFonts w:hint="eastAsia"/>
              <w:lang w:val="en-US" w:eastAsia="zh-CN"/>
            </w:rPr>
            <w:t>一、 考试组织流程介绍</w:t>
          </w:r>
          <w:r>
            <w:tab/>
          </w:r>
          <w:r>
            <w:fldChar w:fldCharType="begin"/>
          </w:r>
          <w:r>
            <w:instrText xml:space="preserve"> PAGEREF _Toc913505666 </w:instrText>
          </w:r>
          <w:r>
            <w:fldChar w:fldCharType="separate"/>
          </w:r>
          <w:r>
            <w:t>3</w:t>
          </w:r>
          <w:r>
            <w:fldChar w:fldCharType="end"/>
          </w:r>
          <w:r>
            <w:rPr>
              <w:rFonts w:hint="eastAsia" w:ascii="微软雅黑" w:hAnsi="微软雅黑" w:eastAsia="微软雅黑" w:cs="微软雅黑"/>
              <w:bCs/>
              <w:szCs w:val="44"/>
              <w:lang w:val="en-US" w:eastAsia="zh-CN"/>
            </w:rPr>
            <w:fldChar w:fldCharType="end"/>
          </w:r>
        </w:p>
        <w:p>
          <w:pPr>
            <w:pStyle w:val="5"/>
            <w:tabs>
              <w:tab w:val="right" w:leader="dot" w:pos="8306"/>
            </w:tabs>
          </w:pPr>
          <w:r>
            <w:rPr>
              <w:rFonts w:hint="eastAsia" w:ascii="微软雅黑" w:hAnsi="微软雅黑" w:eastAsia="微软雅黑" w:cs="微软雅黑"/>
              <w:bCs/>
              <w:szCs w:val="44"/>
              <w:lang w:val="en-US" w:eastAsia="zh-CN"/>
            </w:rPr>
            <w:fldChar w:fldCharType="begin"/>
          </w:r>
          <w:r>
            <w:rPr>
              <w:rFonts w:hint="eastAsia" w:ascii="微软雅黑" w:hAnsi="微软雅黑" w:eastAsia="微软雅黑" w:cs="微软雅黑"/>
              <w:bCs/>
              <w:szCs w:val="44"/>
              <w:lang w:val="en-US" w:eastAsia="zh-CN"/>
            </w:rPr>
            <w:instrText xml:space="preserve"> HYPERLINK \l _Toc929136059 </w:instrText>
          </w:r>
          <w:r>
            <w:rPr>
              <w:rFonts w:hint="eastAsia" w:ascii="微软雅黑" w:hAnsi="微软雅黑" w:eastAsia="微软雅黑" w:cs="微软雅黑"/>
              <w:bCs/>
              <w:szCs w:val="44"/>
              <w:lang w:val="en-US" w:eastAsia="zh-CN"/>
            </w:rPr>
            <w:fldChar w:fldCharType="separate"/>
          </w:r>
          <w:r>
            <w:rPr>
              <w:rFonts w:hint="eastAsia"/>
              <w:lang w:val="en-US" w:eastAsia="zh-CN"/>
            </w:rPr>
            <w:t>二、 详细操作流程</w:t>
          </w:r>
          <w:r>
            <w:tab/>
          </w:r>
          <w:r>
            <w:fldChar w:fldCharType="begin"/>
          </w:r>
          <w:r>
            <w:instrText xml:space="preserve"> PAGEREF _Toc929136059 </w:instrText>
          </w:r>
          <w:r>
            <w:fldChar w:fldCharType="separate"/>
          </w:r>
          <w:r>
            <w:t>4</w:t>
          </w:r>
          <w:r>
            <w:fldChar w:fldCharType="end"/>
          </w:r>
          <w:r>
            <w:rPr>
              <w:rFonts w:hint="eastAsia" w:ascii="微软雅黑" w:hAnsi="微软雅黑" w:eastAsia="微软雅黑" w:cs="微软雅黑"/>
              <w:bCs/>
              <w:szCs w:val="44"/>
              <w:lang w:val="en-US" w:eastAsia="zh-CN"/>
            </w:rPr>
            <w:fldChar w:fldCharType="end"/>
          </w:r>
        </w:p>
        <w:p>
          <w:pPr>
            <w:pStyle w:val="6"/>
            <w:tabs>
              <w:tab w:val="right" w:leader="dot" w:pos="8306"/>
            </w:tabs>
          </w:pPr>
          <w:r>
            <w:rPr>
              <w:rFonts w:hint="eastAsia" w:ascii="微软雅黑" w:hAnsi="微软雅黑" w:eastAsia="微软雅黑" w:cs="微软雅黑"/>
              <w:bCs/>
              <w:szCs w:val="44"/>
              <w:lang w:val="en-US" w:eastAsia="zh-CN"/>
            </w:rPr>
            <w:fldChar w:fldCharType="begin"/>
          </w:r>
          <w:r>
            <w:rPr>
              <w:rFonts w:hint="eastAsia" w:ascii="微软雅黑" w:hAnsi="微软雅黑" w:eastAsia="微软雅黑" w:cs="微软雅黑"/>
              <w:bCs/>
              <w:szCs w:val="44"/>
              <w:lang w:val="en-US" w:eastAsia="zh-CN"/>
            </w:rPr>
            <w:instrText xml:space="preserve"> HYPERLINK \l _Toc1636146276 </w:instrText>
          </w:r>
          <w:r>
            <w:rPr>
              <w:rFonts w:hint="eastAsia" w:ascii="微软雅黑" w:hAnsi="微软雅黑" w:eastAsia="微软雅黑" w:cs="微软雅黑"/>
              <w:bCs/>
              <w:szCs w:val="44"/>
              <w:lang w:val="en-US" w:eastAsia="zh-CN"/>
            </w:rPr>
            <w:fldChar w:fldCharType="separate"/>
          </w:r>
          <w:r>
            <w:rPr>
              <w:rFonts w:hint="eastAsia"/>
              <w:lang w:val="en-US" w:eastAsia="zh-CN"/>
            </w:rPr>
            <w:t>1. 登录业务平台</w:t>
          </w:r>
          <w:r>
            <w:tab/>
          </w:r>
          <w:r>
            <w:fldChar w:fldCharType="begin"/>
          </w:r>
          <w:r>
            <w:instrText xml:space="preserve"> PAGEREF _Toc1636146276 </w:instrText>
          </w:r>
          <w:r>
            <w:fldChar w:fldCharType="separate"/>
          </w:r>
          <w:r>
            <w:t>4</w:t>
          </w:r>
          <w:r>
            <w:fldChar w:fldCharType="end"/>
          </w:r>
          <w:r>
            <w:rPr>
              <w:rFonts w:hint="eastAsia" w:ascii="微软雅黑" w:hAnsi="微软雅黑" w:eastAsia="微软雅黑" w:cs="微软雅黑"/>
              <w:bCs/>
              <w:szCs w:val="44"/>
              <w:lang w:val="en-US" w:eastAsia="zh-CN"/>
            </w:rPr>
            <w:fldChar w:fldCharType="end"/>
          </w:r>
        </w:p>
        <w:p>
          <w:pPr>
            <w:pStyle w:val="6"/>
            <w:tabs>
              <w:tab w:val="right" w:leader="dot" w:pos="8306"/>
            </w:tabs>
          </w:pPr>
          <w:r>
            <w:rPr>
              <w:rFonts w:hint="eastAsia" w:ascii="微软雅黑" w:hAnsi="微软雅黑" w:eastAsia="微软雅黑" w:cs="微软雅黑"/>
              <w:bCs/>
              <w:szCs w:val="44"/>
              <w:lang w:val="en-US" w:eastAsia="zh-CN"/>
            </w:rPr>
            <w:fldChar w:fldCharType="begin"/>
          </w:r>
          <w:r>
            <w:rPr>
              <w:rFonts w:hint="eastAsia" w:ascii="微软雅黑" w:hAnsi="微软雅黑" w:eastAsia="微软雅黑" w:cs="微软雅黑"/>
              <w:bCs/>
              <w:szCs w:val="44"/>
              <w:lang w:val="en-US" w:eastAsia="zh-CN"/>
            </w:rPr>
            <w:instrText xml:space="preserve"> HYPERLINK \l _Toc182360897 </w:instrText>
          </w:r>
          <w:r>
            <w:rPr>
              <w:rFonts w:hint="eastAsia" w:ascii="微软雅黑" w:hAnsi="微软雅黑" w:eastAsia="微软雅黑" w:cs="微软雅黑"/>
              <w:bCs/>
              <w:szCs w:val="44"/>
              <w:lang w:val="en-US" w:eastAsia="zh-CN"/>
            </w:rPr>
            <w:fldChar w:fldCharType="separate"/>
          </w:r>
          <w:r>
            <w:rPr>
              <w:rFonts w:hint="default"/>
              <w:lang w:val="en-US" w:eastAsia="zh-CN"/>
            </w:rPr>
            <w:t xml:space="preserve">2. </w:t>
          </w:r>
          <w:r>
            <w:rPr>
              <w:rFonts w:hint="eastAsia"/>
              <w:lang w:val="en-US" w:eastAsia="zh-CN"/>
            </w:rPr>
            <w:t>查看考试科目</w:t>
          </w:r>
          <w:r>
            <w:tab/>
          </w:r>
          <w:r>
            <w:fldChar w:fldCharType="begin"/>
          </w:r>
          <w:r>
            <w:instrText xml:space="preserve"> PAGEREF _Toc182360897 </w:instrText>
          </w:r>
          <w:r>
            <w:fldChar w:fldCharType="separate"/>
          </w:r>
          <w:r>
            <w:t>5</w:t>
          </w:r>
          <w:r>
            <w:fldChar w:fldCharType="end"/>
          </w:r>
          <w:r>
            <w:rPr>
              <w:rFonts w:hint="eastAsia" w:ascii="微软雅黑" w:hAnsi="微软雅黑" w:eastAsia="微软雅黑" w:cs="微软雅黑"/>
              <w:bCs/>
              <w:szCs w:val="44"/>
              <w:lang w:val="en-US" w:eastAsia="zh-CN"/>
            </w:rPr>
            <w:fldChar w:fldCharType="end"/>
          </w:r>
        </w:p>
        <w:p>
          <w:pPr>
            <w:pStyle w:val="6"/>
            <w:tabs>
              <w:tab w:val="right" w:leader="dot" w:pos="8306"/>
            </w:tabs>
          </w:pPr>
          <w:r>
            <w:rPr>
              <w:rFonts w:hint="eastAsia" w:ascii="微软雅黑" w:hAnsi="微软雅黑" w:eastAsia="微软雅黑" w:cs="微软雅黑"/>
              <w:bCs/>
              <w:szCs w:val="44"/>
              <w:lang w:val="en-US" w:eastAsia="zh-CN"/>
            </w:rPr>
            <w:fldChar w:fldCharType="begin"/>
          </w:r>
          <w:r>
            <w:rPr>
              <w:rFonts w:hint="eastAsia" w:ascii="微软雅黑" w:hAnsi="微软雅黑" w:eastAsia="微软雅黑" w:cs="微软雅黑"/>
              <w:bCs/>
              <w:szCs w:val="44"/>
              <w:lang w:val="en-US" w:eastAsia="zh-CN"/>
            </w:rPr>
            <w:instrText xml:space="preserve"> HYPERLINK \l _Toc480431610 </w:instrText>
          </w:r>
          <w:r>
            <w:rPr>
              <w:rFonts w:hint="eastAsia" w:ascii="微软雅黑" w:hAnsi="微软雅黑" w:eastAsia="微软雅黑" w:cs="微软雅黑"/>
              <w:bCs/>
              <w:szCs w:val="44"/>
              <w:lang w:val="en-US" w:eastAsia="zh-CN"/>
            </w:rPr>
            <w:fldChar w:fldCharType="separate"/>
          </w:r>
          <w:r>
            <w:rPr>
              <w:rFonts w:hint="default"/>
              <w:lang w:val="en-US" w:eastAsia="zh-CN"/>
            </w:rPr>
            <w:t xml:space="preserve">3. </w:t>
          </w:r>
          <w:r>
            <w:rPr>
              <w:rFonts w:hint="eastAsia"/>
              <w:lang w:val="en-US" w:eastAsia="zh-CN"/>
            </w:rPr>
            <w:t>查看考试计划</w:t>
          </w:r>
          <w:r>
            <w:tab/>
          </w:r>
          <w:r>
            <w:fldChar w:fldCharType="begin"/>
          </w:r>
          <w:r>
            <w:instrText xml:space="preserve"> PAGEREF _Toc480431610 </w:instrText>
          </w:r>
          <w:r>
            <w:fldChar w:fldCharType="separate"/>
          </w:r>
          <w:r>
            <w:t>6</w:t>
          </w:r>
          <w:r>
            <w:fldChar w:fldCharType="end"/>
          </w:r>
          <w:r>
            <w:rPr>
              <w:rFonts w:hint="eastAsia" w:ascii="微软雅黑" w:hAnsi="微软雅黑" w:eastAsia="微软雅黑" w:cs="微软雅黑"/>
              <w:bCs/>
              <w:szCs w:val="44"/>
              <w:lang w:val="en-US" w:eastAsia="zh-CN"/>
            </w:rPr>
            <w:fldChar w:fldCharType="end"/>
          </w:r>
        </w:p>
        <w:p>
          <w:pPr>
            <w:pStyle w:val="6"/>
            <w:tabs>
              <w:tab w:val="right" w:leader="dot" w:pos="8306"/>
            </w:tabs>
          </w:pPr>
          <w:r>
            <w:rPr>
              <w:rFonts w:hint="eastAsia" w:ascii="微软雅黑" w:hAnsi="微软雅黑" w:eastAsia="微软雅黑" w:cs="微软雅黑"/>
              <w:bCs/>
              <w:szCs w:val="44"/>
              <w:lang w:val="en-US" w:eastAsia="zh-CN"/>
            </w:rPr>
            <w:fldChar w:fldCharType="begin"/>
          </w:r>
          <w:r>
            <w:rPr>
              <w:rFonts w:hint="eastAsia" w:ascii="微软雅黑" w:hAnsi="微软雅黑" w:eastAsia="微软雅黑" w:cs="微软雅黑"/>
              <w:bCs/>
              <w:szCs w:val="44"/>
              <w:lang w:val="en-US" w:eastAsia="zh-CN"/>
            </w:rPr>
            <w:instrText xml:space="preserve"> HYPERLINK \l _Toc75556550 </w:instrText>
          </w:r>
          <w:r>
            <w:rPr>
              <w:rFonts w:hint="eastAsia" w:ascii="微软雅黑" w:hAnsi="微软雅黑" w:eastAsia="微软雅黑" w:cs="微软雅黑"/>
              <w:bCs/>
              <w:szCs w:val="44"/>
              <w:lang w:val="en-US" w:eastAsia="zh-CN"/>
            </w:rPr>
            <w:fldChar w:fldCharType="separate"/>
          </w:r>
          <w:r>
            <w:rPr>
              <w:rFonts w:hint="default"/>
              <w:lang w:val="en-US" w:eastAsia="zh-CN"/>
            </w:rPr>
            <w:t xml:space="preserve">4. </w:t>
          </w:r>
          <w:r>
            <w:rPr>
              <w:rFonts w:hint="eastAsia"/>
              <w:lang w:val="en-US" w:eastAsia="zh-CN"/>
            </w:rPr>
            <w:t>管理考生信息</w:t>
          </w:r>
          <w:r>
            <w:tab/>
          </w:r>
          <w:r>
            <w:fldChar w:fldCharType="begin"/>
          </w:r>
          <w:r>
            <w:instrText xml:space="preserve"> PAGEREF _Toc75556550 </w:instrText>
          </w:r>
          <w:r>
            <w:fldChar w:fldCharType="separate"/>
          </w:r>
          <w:r>
            <w:t>8</w:t>
          </w:r>
          <w:r>
            <w:fldChar w:fldCharType="end"/>
          </w:r>
          <w:r>
            <w:rPr>
              <w:rFonts w:hint="eastAsia" w:ascii="微软雅黑" w:hAnsi="微软雅黑" w:eastAsia="微软雅黑" w:cs="微软雅黑"/>
              <w:bCs/>
              <w:szCs w:val="44"/>
              <w:lang w:val="en-US" w:eastAsia="zh-CN"/>
            </w:rPr>
            <w:fldChar w:fldCharType="end"/>
          </w:r>
        </w:p>
        <w:p>
          <w:pPr>
            <w:pStyle w:val="6"/>
            <w:tabs>
              <w:tab w:val="right" w:leader="dot" w:pos="8306"/>
            </w:tabs>
          </w:pPr>
          <w:r>
            <w:rPr>
              <w:rFonts w:hint="eastAsia" w:ascii="微软雅黑" w:hAnsi="微软雅黑" w:eastAsia="微软雅黑" w:cs="微软雅黑"/>
              <w:bCs/>
              <w:szCs w:val="44"/>
              <w:lang w:val="en-US" w:eastAsia="zh-CN"/>
            </w:rPr>
            <w:fldChar w:fldCharType="begin"/>
          </w:r>
          <w:r>
            <w:rPr>
              <w:rFonts w:hint="eastAsia" w:ascii="微软雅黑" w:hAnsi="微软雅黑" w:eastAsia="微软雅黑" w:cs="微软雅黑"/>
              <w:bCs/>
              <w:szCs w:val="44"/>
              <w:lang w:val="en-US" w:eastAsia="zh-CN"/>
            </w:rPr>
            <w:instrText xml:space="preserve"> HYPERLINK \l _Toc716100473 </w:instrText>
          </w:r>
          <w:r>
            <w:rPr>
              <w:rFonts w:hint="eastAsia" w:ascii="微软雅黑" w:hAnsi="微软雅黑" w:eastAsia="微软雅黑" w:cs="微软雅黑"/>
              <w:bCs/>
              <w:szCs w:val="44"/>
              <w:lang w:val="en-US" w:eastAsia="zh-CN"/>
            </w:rPr>
            <w:fldChar w:fldCharType="separate"/>
          </w:r>
          <w:r>
            <w:rPr>
              <w:rFonts w:hint="default"/>
              <w:lang w:val="en-US" w:eastAsia="zh-CN"/>
            </w:rPr>
            <w:t xml:space="preserve">5. </w:t>
          </w:r>
          <w:r>
            <w:rPr>
              <w:rFonts w:hint="eastAsia"/>
              <w:lang w:val="en-US" w:eastAsia="zh-CN"/>
            </w:rPr>
            <w:t>申报考核站点</w:t>
          </w:r>
          <w:r>
            <w:tab/>
          </w:r>
          <w:r>
            <w:fldChar w:fldCharType="begin"/>
          </w:r>
          <w:r>
            <w:instrText xml:space="preserve"> PAGEREF _Toc716100473 </w:instrText>
          </w:r>
          <w:r>
            <w:fldChar w:fldCharType="separate"/>
          </w:r>
          <w:r>
            <w:t>9</w:t>
          </w:r>
          <w:r>
            <w:fldChar w:fldCharType="end"/>
          </w:r>
          <w:r>
            <w:rPr>
              <w:rFonts w:hint="eastAsia" w:ascii="微软雅黑" w:hAnsi="微软雅黑" w:eastAsia="微软雅黑" w:cs="微软雅黑"/>
              <w:bCs/>
              <w:szCs w:val="44"/>
              <w:lang w:val="en-US" w:eastAsia="zh-CN"/>
            </w:rPr>
            <w:fldChar w:fldCharType="end"/>
          </w:r>
        </w:p>
        <w:p>
          <w:pPr>
            <w:pStyle w:val="6"/>
            <w:tabs>
              <w:tab w:val="right" w:leader="dot" w:pos="8306"/>
            </w:tabs>
          </w:pPr>
          <w:r>
            <w:rPr>
              <w:rFonts w:hint="eastAsia" w:ascii="微软雅黑" w:hAnsi="微软雅黑" w:eastAsia="微软雅黑" w:cs="微软雅黑"/>
              <w:bCs/>
              <w:szCs w:val="44"/>
              <w:lang w:val="en-US" w:eastAsia="zh-CN"/>
            </w:rPr>
            <w:fldChar w:fldCharType="begin"/>
          </w:r>
          <w:r>
            <w:rPr>
              <w:rFonts w:hint="eastAsia" w:ascii="微软雅黑" w:hAnsi="微软雅黑" w:eastAsia="微软雅黑" w:cs="微软雅黑"/>
              <w:bCs/>
              <w:szCs w:val="44"/>
              <w:lang w:val="en-US" w:eastAsia="zh-CN"/>
            </w:rPr>
            <w:instrText xml:space="preserve"> HYPERLINK \l _Toc1002291923 </w:instrText>
          </w:r>
          <w:r>
            <w:rPr>
              <w:rFonts w:hint="eastAsia" w:ascii="微软雅黑" w:hAnsi="微软雅黑" w:eastAsia="微软雅黑" w:cs="微软雅黑"/>
              <w:bCs/>
              <w:szCs w:val="44"/>
              <w:lang w:val="en-US" w:eastAsia="zh-CN"/>
            </w:rPr>
            <w:fldChar w:fldCharType="separate"/>
          </w:r>
          <w:r>
            <w:rPr>
              <w:rFonts w:hint="default"/>
              <w:lang w:val="en-US" w:eastAsia="zh-CN"/>
            </w:rPr>
            <w:t xml:space="preserve">6. </w:t>
          </w:r>
          <w:r>
            <w:rPr>
              <w:rFonts w:hint="eastAsia"/>
              <w:lang w:val="en-US" w:eastAsia="zh-CN"/>
            </w:rPr>
            <w:t>设置考场信息</w:t>
          </w:r>
          <w:r>
            <w:tab/>
          </w:r>
          <w:r>
            <w:fldChar w:fldCharType="begin"/>
          </w:r>
          <w:r>
            <w:instrText xml:space="preserve"> PAGEREF _Toc1002291923 </w:instrText>
          </w:r>
          <w:r>
            <w:fldChar w:fldCharType="separate"/>
          </w:r>
          <w:r>
            <w:t>11</w:t>
          </w:r>
          <w:r>
            <w:fldChar w:fldCharType="end"/>
          </w:r>
          <w:r>
            <w:rPr>
              <w:rFonts w:hint="eastAsia" w:ascii="微软雅黑" w:hAnsi="微软雅黑" w:eastAsia="微软雅黑" w:cs="微软雅黑"/>
              <w:bCs/>
              <w:szCs w:val="44"/>
              <w:lang w:val="en-US" w:eastAsia="zh-CN"/>
            </w:rPr>
            <w:fldChar w:fldCharType="end"/>
          </w:r>
        </w:p>
        <w:p>
          <w:pPr>
            <w:pStyle w:val="6"/>
            <w:tabs>
              <w:tab w:val="right" w:leader="dot" w:pos="8306"/>
            </w:tabs>
          </w:pPr>
          <w:r>
            <w:rPr>
              <w:rFonts w:hint="eastAsia" w:ascii="微软雅黑" w:hAnsi="微软雅黑" w:eastAsia="微软雅黑" w:cs="微软雅黑"/>
              <w:bCs/>
              <w:szCs w:val="44"/>
              <w:lang w:val="en-US" w:eastAsia="zh-CN"/>
            </w:rPr>
            <w:fldChar w:fldCharType="begin"/>
          </w:r>
          <w:r>
            <w:rPr>
              <w:rFonts w:hint="eastAsia" w:ascii="微软雅黑" w:hAnsi="微软雅黑" w:eastAsia="微软雅黑" w:cs="微软雅黑"/>
              <w:bCs/>
              <w:szCs w:val="44"/>
              <w:lang w:val="en-US" w:eastAsia="zh-CN"/>
            </w:rPr>
            <w:instrText xml:space="preserve"> HYPERLINK \l _Toc658622793 </w:instrText>
          </w:r>
          <w:r>
            <w:rPr>
              <w:rFonts w:hint="eastAsia" w:ascii="微软雅黑" w:hAnsi="微软雅黑" w:eastAsia="微软雅黑" w:cs="微软雅黑"/>
              <w:bCs/>
              <w:szCs w:val="44"/>
              <w:lang w:val="en-US" w:eastAsia="zh-CN"/>
            </w:rPr>
            <w:fldChar w:fldCharType="separate"/>
          </w:r>
          <w:r>
            <w:rPr>
              <w:rFonts w:hint="default"/>
              <w:lang w:val="en-US" w:eastAsia="zh-CN"/>
            </w:rPr>
            <w:t xml:space="preserve">7. </w:t>
          </w:r>
          <w:r>
            <w:rPr>
              <w:rFonts w:hint="eastAsia"/>
              <w:lang w:val="en-US" w:eastAsia="zh-CN"/>
            </w:rPr>
            <w:t>为学生报考</w:t>
          </w:r>
          <w:r>
            <w:tab/>
          </w:r>
          <w:r>
            <w:fldChar w:fldCharType="begin"/>
          </w:r>
          <w:r>
            <w:instrText xml:space="preserve"> PAGEREF _Toc658622793 </w:instrText>
          </w:r>
          <w:r>
            <w:fldChar w:fldCharType="separate"/>
          </w:r>
          <w:r>
            <w:t>13</w:t>
          </w:r>
          <w:r>
            <w:fldChar w:fldCharType="end"/>
          </w:r>
          <w:r>
            <w:rPr>
              <w:rFonts w:hint="eastAsia" w:ascii="微软雅黑" w:hAnsi="微软雅黑" w:eastAsia="微软雅黑" w:cs="微软雅黑"/>
              <w:bCs/>
              <w:szCs w:val="44"/>
              <w:lang w:val="en-US" w:eastAsia="zh-CN"/>
            </w:rPr>
            <w:fldChar w:fldCharType="end"/>
          </w:r>
        </w:p>
        <w:p>
          <w:pPr>
            <w:pStyle w:val="6"/>
            <w:tabs>
              <w:tab w:val="right" w:leader="dot" w:pos="8306"/>
            </w:tabs>
          </w:pPr>
          <w:r>
            <w:rPr>
              <w:rFonts w:hint="eastAsia" w:ascii="微软雅黑" w:hAnsi="微软雅黑" w:eastAsia="微软雅黑" w:cs="微软雅黑"/>
              <w:bCs/>
              <w:szCs w:val="44"/>
              <w:lang w:val="en-US" w:eastAsia="zh-CN"/>
            </w:rPr>
            <w:fldChar w:fldCharType="begin"/>
          </w:r>
          <w:r>
            <w:rPr>
              <w:rFonts w:hint="eastAsia" w:ascii="微软雅黑" w:hAnsi="微软雅黑" w:eastAsia="微软雅黑" w:cs="微软雅黑"/>
              <w:bCs/>
              <w:szCs w:val="44"/>
              <w:lang w:val="en-US" w:eastAsia="zh-CN"/>
            </w:rPr>
            <w:instrText xml:space="preserve"> HYPERLINK \l _Toc1342565313 </w:instrText>
          </w:r>
          <w:r>
            <w:rPr>
              <w:rFonts w:hint="eastAsia" w:ascii="微软雅黑" w:hAnsi="微软雅黑" w:eastAsia="微软雅黑" w:cs="微软雅黑"/>
              <w:bCs/>
              <w:szCs w:val="44"/>
              <w:lang w:val="en-US" w:eastAsia="zh-CN"/>
            </w:rPr>
            <w:fldChar w:fldCharType="separate"/>
          </w:r>
          <w:r>
            <w:rPr>
              <w:rFonts w:hint="default"/>
              <w:lang w:val="en-US" w:eastAsia="zh-CN"/>
            </w:rPr>
            <w:t xml:space="preserve">8. </w:t>
          </w:r>
          <w:r>
            <w:rPr>
              <w:rFonts w:hint="eastAsia"/>
              <w:lang w:val="en-US" w:eastAsia="zh-CN"/>
            </w:rPr>
            <w:t>批量缴费</w:t>
          </w:r>
          <w:r>
            <w:tab/>
          </w:r>
          <w:r>
            <w:fldChar w:fldCharType="begin"/>
          </w:r>
          <w:r>
            <w:instrText xml:space="preserve"> PAGEREF _Toc1342565313 </w:instrText>
          </w:r>
          <w:r>
            <w:fldChar w:fldCharType="separate"/>
          </w:r>
          <w:r>
            <w:t>14</w:t>
          </w:r>
          <w:r>
            <w:fldChar w:fldCharType="end"/>
          </w:r>
          <w:r>
            <w:rPr>
              <w:rFonts w:hint="eastAsia" w:ascii="微软雅黑" w:hAnsi="微软雅黑" w:eastAsia="微软雅黑" w:cs="微软雅黑"/>
              <w:bCs/>
              <w:szCs w:val="44"/>
              <w:lang w:val="en-US" w:eastAsia="zh-CN"/>
            </w:rPr>
            <w:fldChar w:fldCharType="end"/>
          </w:r>
        </w:p>
        <w:p>
          <w:pPr>
            <w:pStyle w:val="6"/>
            <w:tabs>
              <w:tab w:val="right" w:leader="dot" w:pos="8306"/>
            </w:tabs>
          </w:pPr>
          <w:r>
            <w:rPr>
              <w:rFonts w:hint="eastAsia" w:ascii="微软雅黑" w:hAnsi="微软雅黑" w:eastAsia="微软雅黑" w:cs="微软雅黑"/>
              <w:bCs/>
              <w:szCs w:val="44"/>
              <w:lang w:val="en-US" w:eastAsia="zh-CN"/>
            </w:rPr>
            <w:fldChar w:fldCharType="begin"/>
          </w:r>
          <w:r>
            <w:rPr>
              <w:rFonts w:hint="eastAsia" w:ascii="微软雅黑" w:hAnsi="微软雅黑" w:eastAsia="微软雅黑" w:cs="微软雅黑"/>
              <w:bCs/>
              <w:szCs w:val="44"/>
              <w:lang w:val="en-US" w:eastAsia="zh-CN"/>
            </w:rPr>
            <w:instrText xml:space="preserve"> HYPERLINK \l _Toc884536562 </w:instrText>
          </w:r>
          <w:r>
            <w:rPr>
              <w:rFonts w:hint="eastAsia" w:ascii="微软雅黑" w:hAnsi="微软雅黑" w:eastAsia="微软雅黑" w:cs="微软雅黑"/>
              <w:bCs/>
              <w:szCs w:val="44"/>
              <w:lang w:val="en-US" w:eastAsia="zh-CN"/>
            </w:rPr>
            <w:fldChar w:fldCharType="separate"/>
          </w:r>
          <w:r>
            <w:rPr>
              <w:rFonts w:hint="default"/>
              <w:lang w:val="en-US" w:eastAsia="zh-CN"/>
            </w:rPr>
            <w:t xml:space="preserve">9. </w:t>
          </w:r>
          <w:r>
            <w:rPr>
              <w:rFonts w:hint="eastAsia"/>
              <w:lang w:val="en-US" w:eastAsia="zh-CN"/>
            </w:rPr>
            <w:t>查看排考信息</w:t>
          </w:r>
          <w:r>
            <w:tab/>
          </w:r>
          <w:r>
            <w:fldChar w:fldCharType="begin"/>
          </w:r>
          <w:r>
            <w:instrText xml:space="preserve"> PAGEREF _Toc884536562 </w:instrText>
          </w:r>
          <w:r>
            <w:fldChar w:fldCharType="separate"/>
          </w:r>
          <w:r>
            <w:t>15</w:t>
          </w:r>
          <w:r>
            <w:fldChar w:fldCharType="end"/>
          </w:r>
          <w:r>
            <w:rPr>
              <w:rFonts w:hint="eastAsia" w:ascii="微软雅黑" w:hAnsi="微软雅黑" w:eastAsia="微软雅黑" w:cs="微软雅黑"/>
              <w:bCs/>
              <w:szCs w:val="44"/>
              <w:lang w:val="en-US" w:eastAsia="zh-CN"/>
            </w:rPr>
            <w:fldChar w:fldCharType="end"/>
          </w:r>
        </w:p>
        <w:p>
          <w:pPr>
            <w:pStyle w:val="6"/>
            <w:tabs>
              <w:tab w:val="right" w:leader="dot" w:pos="8306"/>
            </w:tabs>
          </w:pPr>
          <w:r>
            <w:rPr>
              <w:rFonts w:hint="eastAsia" w:ascii="微软雅黑" w:hAnsi="微软雅黑" w:eastAsia="微软雅黑" w:cs="微软雅黑"/>
              <w:bCs/>
              <w:szCs w:val="44"/>
              <w:lang w:val="en-US" w:eastAsia="zh-CN"/>
            </w:rPr>
            <w:fldChar w:fldCharType="begin"/>
          </w:r>
          <w:r>
            <w:rPr>
              <w:rFonts w:hint="eastAsia" w:ascii="微软雅黑" w:hAnsi="微软雅黑" w:eastAsia="微软雅黑" w:cs="微软雅黑"/>
              <w:bCs/>
              <w:szCs w:val="44"/>
              <w:lang w:val="en-US" w:eastAsia="zh-CN"/>
            </w:rPr>
            <w:instrText xml:space="preserve"> HYPERLINK \l _Toc1524193000 </w:instrText>
          </w:r>
          <w:r>
            <w:rPr>
              <w:rFonts w:hint="eastAsia" w:ascii="微软雅黑" w:hAnsi="微软雅黑" w:eastAsia="微软雅黑" w:cs="微软雅黑"/>
              <w:bCs/>
              <w:szCs w:val="44"/>
              <w:lang w:val="en-US" w:eastAsia="zh-CN"/>
            </w:rPr>
            <w:fldChar w:fldCharType="separate"/>
          </w:r>
          <w:r>
            <w:rPr>
              <w:rFonts w:hint="eastAsia"/>
              <w:lang w:eastAsia="zh-Hans"/>
            </w:rPr>
            <w:t xml:space="preserve">10. </w:t>
          </w:r>
          <w:r>
            <w:rPr>
              <w:rFonts w:hint="eastAsia"/>
              <w:lang w:val="en-US" w:eastAsia="zh-Hans"/>
            </w:rPr>
            <w:t>准考证下载</w:t>
          </w:r>
          <w:r>
            <w:tab/>
          </w:r>
          <w:r>
            <w:fldChar w:fldCharType="begin"/>
          </w:r>
          <w:r>
            <w:instrText xml:space="preserve"> PAGEREF _Toc1524193000 </w:instrText>
          </w:r>
          <w:r>
            <w:fldChar w:fldCharType="separate"/>
          </w:r>
          <w:r>
            <w:t>18</w:t>
          </w:r>
          <w:r>
            <w:fldChar w:fldCharType="end"/>
          </w:r>
          <w:r>
            <w:rPr>
              <w:rFonts w:hint="eastAsia" w:ascii="微软雅黑" w:hAnsi="微软雅黑" w:eastAsia="微软雅黑" w:cs="微软雅黑"/>
              <w:bCs/>
              <w:szCs w:val="44"/>
              <w:lang w:val="en-US" w:eastAsia="zh-CN"/>
            </w:rPr>
            <w:fldChar w:fldCharType="end"/>
          </w:r>
        </w:p>
        <w:p>
          <w:pPr>
            <w:pStyle w:val="6"/>
            <w:tabs>
              <w:tab w:val="right" w:leader="dot" w:pos="8306"/>
            </w:tabs>
          </w:pPr>
          <w:r>
            <w:rPr>
              <w:rFonts w:hint="eastAsia" w:ascii="微软雅黑" w:hAnsi="微软雅黑" w:eastAsia="微软雅黑" w:cs="微软雅黑"/>
              <w:bCs/>
              <w:szCs w:val="44"/>
              <w:lang w:val="en-US" w:eastAsia="zh-CN"/>
            </w:rPr>
            <w:fldChar w:fldCharType="begin"/>
          </w:r>
          <w:r>
            <w:rPr>
              <w:rFonts w:hint="eastAsia" w:ascii="微软雅黑" w:hAnsi="微软雅黑" w:eastAsia="微软雅黑" w:cs="微软雅黑"/>
              <w:bCs/>
              <w:szCs w:val="44"/>
              <w:lang w:val="en-US" w:eastAsia="zh-CN"/>
            </w:rPr>
            <w:instrText xml:space="preserve"> HYPERLINK \l _Toc1926809584 </w:instrText>
          </w:r>
          <w:r>
            <w:rPr>
              <w:rFonts w:hint="eastAsia" w:ascii="微软雅黑" w:hAnsi="微软雅黑" w:eastAsia="微软雅黑" w:cs="微软雅黑"/>
              <w:bCs/>
              <w:szCs w:val="44"/>
              <w:lang w:val="en-US" w:eastAsia="zh-CN"/>
            </w:rPr>
            <w:fldChar w:fldCharType="separate"/>
          </w:r>
          <w:r>
            <w:t xml:space="preserve">11. </w:t>
          </w:r>
          <w:r>
            <w:rPr>
              <w:rFonts w:hint="eastAsia"/>
              <w:lang w:val="en-US" w:eastAsia="zh-CN"/>
            </w:rPr>
            <w:t>设置监考老师</w:t>
          </w:r>
          <w:r>
            <w:tab/>
          </w:r>
          <w:r>
            <w:fldChar w:fldCharType="begin"/>
          </w:r>
          <w:r>
            <w:instrText xml:space="preserve"> PAGEREF _Toc1926809584 </w:instrText>
          </w:r>
          <w:r>
            <w:fldChar w:fldCharType="separate"/>
          </w:r>
          <w:r>
            <w:t>21</w:t>
          </w:r>
          <w:r>
            <w:fldChar w:fldCharType="end"/>
          </w:r>
          <w:r>
            <w:rPr>
              <w:rFonts w:hint="eastAsia" w:ascii="微软雅黑" w:hAnsi="微软雅黑" w:eastAsia="微软雅黑" w:cs="微软雅黑"/>
              <w:bCs/>
              <w:szCs w:val="44"/>
              <w:lang w:val="en-US" w:eastAsia="zh-CN"/>
            </w:rPr>
            <w:fldChar w:fldCharType="end"/>
          </w:r>
        </w:p>
        <w:p>
          <w:pPr>
            <w:pStyle w:val="6"/>
            <w:tabs>
              <w:tab w:val="right" w:leader="dot" w:pos="8306"/>
            </w:tabs>
          </w:pPr>
          <w:r>
            <w:rPr>
              <w:rFonts w:hint="eastAsia" w:ascii="微软雅黑" w:hAnsi="微软雅黑" w:eastAsia="微软雅黑" w:cs="微软雅黑"/>
              <w:bCs/>
              <w:szCs w:val="44"/>
              <w:lang w:val="en-US" w:eastAsia="zh-CN"/>
            </w:rPr>
            <w:fldChar w:fldCharType="begin"/>
          </w:r>
          <w:r>
            <w:rPr>
              <w:rFonts w:hint="eastAsia" w:ascii="微软雅黑" w:hAnsi="微软雅黑" w:eastAsia="微软雅黑" w:cs="微软雅黑"/>
              <w:bCs/>
              <w:szCs w:val="44"/>
              <w:lang w:val="en-US" w:eastAsia="zh-CN"/>
            </w:rPr>
            <w:instrText xml:space="preserve"> HYPERLINK \l _Toc1982765175 </w:instrText>
          </w:r>
          <w:r>
            <w:rPr>
              <w:rFonts w:hint="eastAsia" w:ascii="微软雅黑" w:hAnsi="微软雅黑" w:eastAsia="微软雅黑" w:cs="微软雅黑"/>
              <w:bCs/>
              <w:szCs w:val="44"/>
              <w:lang w:val="en-US" w:eastAsia="zh-CN"/>
            </w:rPr>
            <w:fldChar w:fldCharType="separate"/>
          </w:r>
          <w:r>
            <w:t xml:space="preserve">12. </w:t>
          </w:r>
          <w:r>
            <w:rPr>
              <w:rFonts w:hint="eastAsia"/>
              <w:lang w:val="en-US" w:eastAsia="zh-CN"/>
            </w:rPr>
            <w:t>查看科目成绩</w:t>
          </w:r>
          <w:r>
            <w:tab/>
          </w:r>
          <w:r>
            <w:fldChar w:fldCharType="begin"/>
          </w:r>
          <w:r>
            <w:instrText xml:space="preserve"> PAGEREF _Toc1982765175 </w:instrText>
          </w:r>
          <w:r>
            <w:fldChar w:fldCharType="separate"/>
          </w:r>
          <w:r>
            <w:t>21</w:t>
          </w:r>
          <w:r>
            <w:fldChar w:fldCharType="end"/>
          </w:r>
          <w:r>
            <w:rPr>
              <w:rFonts w:hint="eastAsia" w:ascii="微软雅黑" w:hAnsi="微软雅黑" w:eastAsia="微软雅黑" w:cs="微软雅黑"/>
              <w:bCs/>
              <w:szCs w:val="44"/>
              <w:lang w:val="en-US" w:eastAsia="zh-CN"/>
            </w:rPr>
            <w:fldChar w:fldCharType="end"/>
          </w:r>
        </w:p>
        <w:p>
          <w:pPr>
            <w:pStyle w:val="6"/>
            <w:tabs>
              <w:tab w:val="right" w:leader="dot" w:pos="8306"/>
            </w:tabs>
          </w:pPr>
          <w:r>
            <w:rPr>
              <w:rFonts w:hint="eastAsia" w:ascii="微软雅黑" w:hAnsi="微软雅黑" w:eastAsia="微软雅黑" w:cs="微软雅黑"/>
              <w:bCs/>
              <w:szCs w:val="44"/>
              <w:lang w:val="en-US" w:eastAsia="zh-CN"/>
            </w:rPr>
            <w:fldChar w:fldCharType="begin"/>
          </w:r>
          <w:r>
            <w:rPr>
              <w:rFonts w:hint="eastAsia" w:ascii="微软雅黑" w:hAnsi="微软雅黑" w:eastAsia="微软雅黑" w:cs="微软雅黑"/>
              <w:bCs/>
              <w:szCs w:val="44"/>
              <w:lang w:val="en-US" w:eastAsia="zh-CN"/>
            </w:rPr>
            <w:instrText xml:space="preserve"> HYPERLINK \l _Toc1830545726 </w:instrText>
          </w:r>
          <w:r>
            <w:rPr>
              <w:rFonts w:hint="eastAsia" w:ascii="微软雅黑" w:hAnsi="微软雅黑" w:eastAsia="微软雅黑" w:cs="微软雅黑"/>
              <w:bCs/>
              <w:szCs w:val="44"/>
              <w:lang w:val="en-US" w:eastAsia="zh-CN"/>
            </w:rPr>
            <w:fldChar w:fldCharType="separate"/>
          </w:r>
          <w:r>
            <w:t xml:space="preserve">13. </w:t>
          </w:r>
          <w:r>
            <w:rPr>
              <w:rFonts w:hint="eastAsia"/>
              <w:lang w:val="en-US" w:eastAsia="zh-CN"/>
            </w:rPr>
            <w:t>查看考证结果</w:t>
          </w:r>
          <w:r>
            <w:tab/>
          </w:r>
          <w:r>
            <w:fldChar w:fldCharType="begin"/>
          </w:r>
          <w:r>
            <w:instrText xml:space="preserve"> PAGEREF _Toc1830545726 </w:instrText>
          </w:r>
          <w:r>
            <w:fldChar w:fldCharType="separate"/>
          </w:r>
          <w:r>
            <w:t>22</w:t>
          </w:r>
          <w:r>
            <w:fldChar w:fldCharType="end"/>
          </w:r>
          <w:r>
            <w:rPr>
              <w:rFonts w:hint="eastAsia" w:ascii="微软雅黑" w:hAnsi="微软雅黑" w:eastAsia="微软雅黑" w:cs="微软雅黑"/>
              <w:bCs/>
              <w:szCs w:val="44"/>
              <w:lang w:val="en-US" w:eastAsia="zh-CN"/>
            </w:rPr>
            <w:fldChar w:fldCharType="end"/>
          </w:r>
        </w:p>
        <w:p>
          <w:pPr>
            <w:bidi w:val="0"/>
            <w:jc w:val="both"/>
            <w:rPr>
              <w:rFonts w:hint="eastAsia" w:ascii="微软雅黑" w:hAnsi="微软雅黑" w:eastAsia="微软雅黑" w:cs="微软雅黑"/>
              <w:bCs/>
              <w:kern w:val="2"/>
              <w:sz w:val="24"/>
              <w:szCs w:val="44"/>
              <w:lang w:val="en-US" w:eastAsia="zh-CN" w:bidi="ar-SA"/>
            </w:rPr>
          </w:pPr>
          <w:r>
            <w:rPr>
              <w:rFonts w:hint="eastAsia" w:ascii="微软雅黑" w:hAnsi="微软雅黑" w:eastAsia="微软雅黑" w:cs="微软雅黑"/>
              <w:bCs/>
              <w:szCs w:val="44"/>
              <w:lang w:val="en-US" w:eastAsia="zh-CN"/>
            </w:rPr>
            <w:fldChar w:fldCharType="end"/>
          </w:r>
        </w:p>
      </w:sdtContent>
    </w:sdt>
    <w:p>
      <w:pPr>
        <w:bidi w:val="0"/>
        <w:ind w:firstLine="420" w:firstLineChars="0"/>
        <w:rPr>
          <w:rFonts w:hint="default"/>
          <w:lang w:eastAsia="zh-CN"/>
        </w:rPr>
      </w:pPr>
    </w:p>
    <w:p>
      <w:pPr>
        <w:bidi w:val="0"/>
        <w:ind w:firstLine="420" w:firstLineChars="0"/>
        <w:rPr>
          <w:rFonts w:hint="default"/>
          <w:lang w:eastAsia="zh-CN"/>
        </w:rPr>
      </w:pPr>
    </w:p>
    <w:p>
      <w:pPr>
        <w:bidi w:val="0"/>
        <w:ind w:firstLine="420" w:firstLineChars="0"/>
        <w:rPr>
          <w:rFonts w:hint="default"/>
          <w:lang w:eastAsia="zh-CN"/>
        </w:rPr>
      </w:pPr>
    </w:p>
    <w:p>
      <w:pPr>
        <w:bidi w:val="0"/>
        <w:ind w:firstLine="420" w:firstLineChars="0"/>
        <w:rPr>
          <w:rFonts w:hint="default"/>
          <w:lang w:eastAsia="zh-CN"/>
        </w:rPr>
      </w:pPr>
    </w:p>
    <w:p>
      <w:pPr>
        <w:bidi w:val="0"/>
        <w:ind w:firstLine="420" w:firstLineChars="0"/>
        <w:rPr>
          <w:rFonts w:hint="default"/>
          <w:lang w:eastAsia="zh-CN"/>
        </w:rPr>
      </w:pPr>
    </w:p>
    <w:p>
      <w:pPr>
        <w:bidi w:val="0"/>
        <w:ind w:firstLine="420" w:firstLineChars="0"/>
        <w:rPr>
          <w:rFonts w:hint="default"/>
          <w:lang w:eastAsia="zh-CN"/>
        </w:rPr>
      </w:pPr>
    </w:p>
    <w:p>
      <w:pPr>
        <w:bidi w:val="0"/>
        <w:ind w:firstLine="420" w:firstLineChars="0"/>
        <w:rPr>
          <w:rFonts w:hint="default"/>
          <w:lang w:eastAsia="zh-CN"/>
        </w:rPr>
      </w:pPr>
    </w:p>
    <w:p>
      <w:pPr>
        <w:bidi w:val="0"/>
        <w:ind w:firstLine="420" w:firstLineChars="0"/>
        <w:rPr>
          <w:rFonts w:hint="default"/>
          <w:lang w:eastAsia="zh-CN"/>
        </w:rPr>
      </w:pPr>
    </w:p>
    <w:p>
      <w:pPr>
        <w:bidi w:val="0"/>
        <w:ind w:firstLine="420" w:firstLineChars="0"/>
        <w:rPr>
          <w:rFonts w:hint="default"/>
          <w:lang w:eastAsia="zh-CN"/>
        </w:rPr>
      </w:pPr>
    </w:p>
    <w:p>
      <w:pPr>
        <w:bidi w:val="0"/>
        <w:ind w:firstLine="420" w:firstLineChars="0"/>
        <w:rPr>
          <w:rFonts w:hint="default"/>
          <w:lang w:eastAsia="zh-CN"/>
        </w:rPr>
      </w:pPr>
    </w:p>
    <w:p>
      <w:pPr>
        <w:bidi w:val="0"/>
        <w:ind w:firstLine="420" w:firstLineChars="0"/>
        <w:rPr>
          <w:rFonts w:hint="default"/>
          <w:lang w:eastAsia="zh-CN"/>
        </w:rPr>
      </w:pPr>
    </w:p>
    <w:p>
      <w:pPr>
        <w:bidi w:val="0"/>
        <w:ind w:firstLine="420" w:firstLineChars="0"/>
        <w:rPr>
          <w:rFonts w:hint="default"/>
          <w:lang w:eastAsia="zh-CN"/>
        </w:rPr>
      </w:pPr>
    </w:p>
    <w:p>
      <w:pPr>
        <w:bidi w:val="0"/>
        <w:ind w:firstLine="420" w:firstLineChars="0"/>
        <w:rPr>
          <w:rFonts w:hint="default"/>
          <w:lang w:eastAsia="zh-CN"/>
        </w:rPr>
      </w:pPr>
    </w:p>
    <w:p>
      <w:pPr>
        <w:bidi w:val="0"/>
        <w:ind w:firstLine="420" w:firstLineChars="0"/>
        <w:rPr>
          <w:rFonts w:hint="default"/>
          <w:lang w:eastAsia="zh-CN"/>
        </w:rPr>
      </w:pPr>
    </w:p>
    <w:p>
      <w:pPr>
        <w:bidi w:val="0"/>
        <w:ind w:firstLine="420" w:firstLineChars="0"/>
        <w:rPr>
          <w:rFonts w:hint="default"/>
          <w:lang w:eastAsia="zh-CN"/>
        </w:rPr>
      </w:pPr>
    </w:p>
    <w:p>
      <w:pPr>
        <w:bidi w:val="0"/>
        <w:ind w:firstLine="420" w:firstLineChars="0"/>
        <w:rPr>
          <w:rFonts w:hint="default"/>
          <w:lang w:eastAsia="zh-CN"/>
        </w:rPr>
      </w:pPr>
    </w:p>
    <w:p>
      <w:pPr>
        <w:bidi w:val="0"/>
        <w:ind w:firstLine="420" w:firstLineChars="0"/>
        <w:rPr>
          <w:rFonts w:hint="default"/>
          <w:lang w:eastAsia="zh-CN"/>
        </w:rPr>
      </w:pPr>
    </w:p>
    <w:p>
      <w:pPr>
        <w:bidi w:val="0"/>
        <w:ind w:firstLine="420" w:firstLineChars="0"/>
        <w:rPr>
          <w:rFonts w:hint="default"/>
          <w:lang w:eastAsia="zh-CN"/>
        </w:rPr>
      </w:pPr>
    </w:p>
    <w:p>
      <w:pPr>
        <w:bidi w:val="0"/>
        <w:ind w:firstLine="420" w:firstLineChars="0"/>
        <w:rPr>
          <w:rFonts w:hint="default"/>
          <w:lang w:eastAsia="zh-CN"/>
        </w:rPr>
      </w:pPr>
    </w:p>
    <w:p>
      <w:pPr>
        <w:bidi w:val="0"/>
        <w:ind w:firstLine="420" w:firstLineChars="0"/>
        <w:rPr>
          <w:rFonts w:hint="default"/>
          <w:lang w:eastAsia="zh-CN"/>
        </w:rPr>
      </w:pPr>
    </w:p>
    <w:p>
      <w:pPr>
        <w:bidi w:val="0"/>
        <w:ind w:firstLine="420" w:firstLineChars="0"/>
        <w:rPr>
          <w:rFonts w:hint="default"/>
          <w:lang w:eastAsia="zh-CN"/>
        </w:rPr>
      </w:pPr>
    </w:p>
    <w:p>
      <w:pPr>
        <w:bidi w:val="0"/>
        <w:ind w:firstLine="420" w:firstLineChars="0"/>
        <w:rPr>
          <w:rFonts w:hint="eastAsia"/>
          <w:b w:val="0"/>
          <w:bCs w:val="0"/>
          <w:color w:val="auto"/>
          <w:lang w:val="en-US" w:eastAsia="zh-CN"/>
        </w:rPr>
      </w:pPr>
      <w:r>
        <w:rPr>
          <w:rFonts w:hint="eastAsia"/>
          <w:b w:val="0"/>
          <w:bCs w:val="0"/>
          <w:color w:val="auto"/>
          <w:lang w:val="en-US" w:eastAsia="zh-CN"/>
        </w:rPr>
        <w:t>试点院校在完成本年度的证书申报工作后，省厅已批准试点的证书，均可根据证书对应的培训评价组织的考试计划，在试点院校业务平台上完成考点申报、考场设置、考生信息管理、为学生报考、根据培训评价组织的排考安排，设置监考人员，下载考场签到表、桌贴、门贴等用于组织考试。最后考试结束后，可以查看培训评价组织公布的考试成绩，证书考核通过情况。并与培训评价组织对证书考核通过的学生核准发证。</w:t>
      </w:r>
    </w:p>
    <w:p>
      <w:pPr>
        <w:bidi w:val="0"/>
        <w:ind w:firstLine="420" w:firstLineChars="0"/>
        <w:rPr>
          <w:rFonts w:hint="eastAsia"/>
          <w:lang w:val="en-US" w:eastAsia="zh-CN"/>
        </w:rPr>
      </w:pPr>
      <w:r>
        <w:rPr>
          <w:rFonts w:hint="eastAsia"/>
          <w:b w:val="0"/>
          <w:bCs w:val="0"/>
          <w:color w:val="auto"/>
          <w:lang w:val="en-US" w:eastAsia="zh-CN"/>
        </w:rPr>
        <w:br w:type="textWrapping"/>
      </w:r>
      <w:r>
        <w:rPr>
          <w:rFonts w:hint="eastAsia"/>
          <w:b/>
          <w:bCs/>
          <w:lang w:val="en-US" w:eastAsia="zh-CN"/>
        </w:rPr>
        <w:t>具体操作如下：</w:t>
      </w:r>
    </w:p>
    <w:p>
      <w:pPr>
        <w:bidi w:val="0"/>
        <w:ind w:firstLine="420" w:firstLineChars="0"/>
        <w:rPr>
          <w:rFonts w:hint="default"/>
          <w:lang w:val="en-US" w:eastAsia="zh-CN"/>
        </w:rPr>
      </w:pPr>
    </w:p>
    <w:p>
      <w:pPr>
        <w:pStyle w:val="2"/>
        <w:numPr>
          <w:ilvl w:val="0"/>
          <w:numId w:val="1"/>
        </w:numPr>
        <w:bidi w:val="0"/>
        <w:rPr>
          <w:rFonts w:hint="eastAsia"/>
          <w:lang w:val="en-US" w:eastAsia="zh-CN"/>
        </w:rPr>
      </w:pPr>
      <w:bookmarkStart w:id="0" w:name="_Toc913505666"/>
      <w:r>
        <w:rPr>
          <w:rFonts w:hint="eastAsia"/>
          <w:lang w:val="en-US" w:eastAsia="zh-CN"/>
        </w:rPr>
        <w:t>考试组织流程介绍</w:t>
      </w:r>
      <w:bookmarkEnd w:id="0"/>
    </w:p>
    <w:p>
      <w:pPr>
        <w:ind w:firstLine="420" w:firstLineChars="0"/>
        <w:rPr>
          <w:rFonts w:hint="default"/>
          <w:lang w:val="en-US" w:eastAsia="zh-CN"/>
        </w:rPr>
      </w:pPr>
      <w:r>
        <w:rPr>
          <w:rFonts w:hint="eastAsia"/>
          <w:lang w:val="en-US" w:eastAsia="zh-CN"/>
        </w:rPr>
        <w:t>考试组织大致流程如下，各角色的蓝色部分为该角色要做的主要的事项，培训评价组织和试点院校在1+X证书平台上主要完成考务组织部分工作，详细见下图。学生考试平台、命题组卷平台、阅卷平台、考试收费系统等考试实施系统由各培训评价组织各自建设。具体请参照培训评价组织自建考试系统的操作手册。但根据1+X证书平台的要求，各培训评价组织尽量不要让试点院校过多的使用自建的考试系统，试点院校在自己的试点院校业务平台完成考点申报、考场设置、考生管理、报考管理、监考安排、核准发证等工作即可。</w:t>
      </w:r>
    </w:p>
    <w:p>
      <w:pPr>
        <w:numPr>
          <w:ilvl w:val="0"/>
          <w:numId w:val="0"/>
        </w:numPr>
        <w:jc w:val="center"/>
      </w:pPr>
      <w:r>
        <w:drawing>
          <wp:inline distT="0" distB="0" distL="114300" distR="114300">
            <wp:extent cx="5266690" cy="3290570"/>
            <wp:effectExtent l="0" t="0" r="10160" b="508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4"/>
                    <a:stretch>
                      <a:fillRect/>
                    </a:stretch>
                  </pic:blipFill>
                  <pic:spPr>
                    <a:xfrm>
                      <a:off x="0" y="0"/>
                      <a:ext cx="5266690" cy="3290570"/>
                    </a:xfrm>
                    <a:prstGeom prst="rect">
                      <a:avLst/>
                    </a:prstGeom>
                    <a:noFill/>
                    <a:ln>
                      <a:noFill/>
                    </a:ln>
                  </pic:spPr>
                </pic:pic>
              </a:graphicData>
            </a:graphic>
          </wp:inline>
        </w:drawing>
      </w:r>
    </w:p>
    <w:p>
      <w:pPr>
        <w:numPr>
          <w:ilvl w:val="0"/>
          <w:numId w:val="0"/>
        </w:numPr>
        <w:jc w:val="center"/>
        <w:rPr>
          <w:rFonts w:hint="eastAsia"/>
          <w:lang w:val="en-US" w:eastAsia="zh-CN"/>
        </w:rPr>
      </w:pPr>
    </w:p>
    <w:p>
      <w:pPr>
        <w:numPr>
          <w:ilvl w:val="0"/>
          <w:numId w:val="0"/>
        </w:numPr>
        <w:rPr>
          <w:rFonts w:hint="default"/>
          <w:lang w:val="en-US" w:eastAsia="zh-CN"/>
        </w:rPr>
      </w:pPr>
    </w:p>
    <w:p>
      <w:pPr>
        <w:pStyle w:val="2"/>
        <w:numPr>
          <w:ilvl w:val="0"/>
          <w:numId w:val="1"/>
        </w:numPr>
        <w:bidi w:val="0"/>
        <w:rPr>
          <w:rFonts w:hint="default"/>
          <w:lang w:val="en-US" w:eastAsia="zh-CN"/>
        </w:rPr>
      </w:pPr>
      <w:bookmarkStart w:id="1" w:name="_Toc929136059"/>
      <w:r>
        <w:rPr>
          <w:rFonts w:hint="eastAsia"/>
          <w:lang w:val="en-US" w:eastAsia="zh-CN"/>
        </w:rPr>
        <w:t>详细操作流程</w:t>
      </w:r>
      <w:bookmarkEnd w:id="1"/>
    </w:p>
    <w:p>
      <w:pPr>
        <w:pStyle w:val="3"/>
        <w:numPr>
          <w:ilvl w:val="0"/>
          <w:numId w:val="2"/>
        </w:numPr>
        <w:bidi w:val="0"/>
        <w:rPr>
          <w:rFonts w:hint="eastAsia"/>
          <w:lang w:val="en-US" w:eastAsia="zh-CN"/>
        </w:rPr>
      </w:pPr>
      <w:bookmarkStart w:id="2" w:name="_Toc1636146276"/>
      <w:r>
        <w:rPr>
          <w:rFonts w:hint="eastAsia"/>
          <w:lang w:val="en-US" w:eastAsia="zh-CN"/>
        </w:rPr>
        <w:t>登录业务平台</w:t>
      </w:r>
      <w:bookmarkEnd w:id="2"/>
    </w:p>
    <w:p>
      <w:pPr>
        <w:numPr>
          <w:ilvl w:val="0"/>
          <w:numId w:val="3"/>
        </w:numPr>
        <w:bidi w:val="0"/>
        <w:ind w:left="420" w:leftChars="0" w:hanging="420" w:firstLineChars="0"/>
      </w:pPr>
      <w:r>
        <w:rPr>
          <w:rFonts w:hint="eastAsia"/>
          <w:lang w:val="en-US" w:eastAsia="zh-CN"/>
        </w:rPr>
        <w:t>网址：https://vslc.ncb.edu.cn/csr-home</w:t>
      </w:r>
    </w:p>
    <w:p>
      <w:pPr>
        <w:numPr>
          <w:ilvl w:val="0"/>
          <w:numId w:val="3"/>
        </w:numPr>
        <w:bidi w:val="0"/>
        <w:ind w:left="420" w:leftChars="0" w:hanging="420" w:firstLineChars="0"/>
      </w:pPr>
      <w:r>
        <w:rPr>
          <w:rFonts w:hint="eastAsia"/>
          <w:lang w:val="en-US" w:eastAsia="zh-CN"/>
        </w:rPr>
        <w:t>打开试点院校业务平台登录页面，输入试点院校管理员的账号密码登录即可</w:t>
      </w:r>
    </w:p>
    <w:p>
      <w:pPr>
        <w:numPr>
          <w:ilvl w:val="0"/>
          <w:numId w:val="0"/>
        </w:numPr>
        <w:bidi w:val="0"/>
        <w:ind w:leftChars="0"/>
      </w:pPr>
      <w:r>
        <w:drawing>
          <wp:inline distT="0" distB="0" distL="114300" distR="114300">
            <wp:extent cx="5266690" cy="2658110"/>
            <wp:effectExtent l="0" t="0" r="10160" b="889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
                    <a:stretch>
                      <a:fillRect/>
                    </a:stretch>
                  </pic:blipFill>
                  <pic:spPr>
                    <a:xfrm>
                      <a:off x="0" y="0"/>
                      <a:ext cx="5266690" cy="2658110"/>
                    </a:xfrm>
                    <a:prstGeom prst="rect">
                      <a:avLst/>
                    </a:prstGeom>
                    <a:noFill/>
                    <a:ln>
                      <a:noFill/>
                    </a:ln>
                  </pic:spPr>
                </pic:pic>
              </a:graphicData>
            </a:graphic>
          </wp:inline>
        </w:drawing>
      </w:r>
    </w:p>
    <w:p>
      <w:pPr>
        <w:numPr>
          <w:ilvl w:val="0"/>
          <w:numId w:val="0"/>
        </w:numPr>
        <w:bidi w:val="0"/>
        <w:ind w:leftChars="0"/>
      </w:pPr>
      <w:r>
        <w:drawing>
          <wp:inline distT="0" distB="0" distL="114300" distR="114300">
            <wp:extent cx="5269865" cy="3661410"/>
            <wp:effectExtent l="0" t="0" r="6985" b="1524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6"/>
                    <a:stretch>
                      <a:fillRect/>
                    </a:stretch>
                  </pic:blipFill>
                  <pic:spPr>
                    <a:xfrm>
                      <a:off x="0" y="0"/>
                      <a:ext cx="5269865" cy="3661410"/>
                    </a:xfrm>
                    <a:prstGeom prst="rect">
                      <a:avLst/>
                    </a:prstGeom>
                    <a:noFill/>
                    <a:ln>
                      <a:noFill/>
                    </a:ln>
                  </pic:spPr>
                </pic:pic>
              </a:graphicData>
            </a:graphic>
          </wp:inline>
        </w:drawing>
      </w:r>
    </w:p>
    <w:p>
      <w:pPr>
        <w:numPr>
          <w:ilvl w:val="0"/>
          <w:numId w:val="0"/>
        </w:numPr>
        <w:bidi w:val="0"/>
        <w:ind w:leftChars="0"/>
        <w:jc w:val="both"/>
      </w:pPr>
    </w:p>
    <w:p>
      <w:pPr>
        <w:numPr>
          <w:ilvl w:val="0"/>
          <w:numId w:val="0"/>
        </w:numPr>
        <w:bidi w:val="0"/>
        <w:ind w:leftChars="0"/>
        <w:jc w:val="center"/>
      </w:pPr>
    </w:p>
    <w:p>
      <w:pPr>
        <w:pStyle w:val="3"/>
        <w:numPr>
          <w:ilvl w:val="0"/>
          <w:numId w:val="4"/>
        </w:numPr>
        <w:bidi w:val="0"/>
        <w:rPr>
          <w:rFonts w:hint="default"/>
          <w:lang w:val="en-US" w:eastAsia="zh-CN"/>
        </w:rPr>
      </w:pPr>
      <w:bookmarkStart w:id="3" w:name="_Toc182360897"/>
      <w:r>
        <w:rPr>
          <w:rFonts w:hint="eastAsia"/>
          <w:lang w:val="en-US" w:eastAsia="zh-CN"/>
        </w:rPr>
        <w:t>查看考试科目</w:t>
      </w:r>
      <w:bookmarkEnd w:id="3"/>
    </w:p>
    <w:p>
      <w:pPr>
        <w:rPr>
          <w:rFonts w:hint="eastAsia"/>
          <w:lang w:val="en-US" w:eastAsia="zh-CN"/>
        </w:rPr>
      </w:pPr>
      <w:r>
        <w:rPr>
          <w:rFonts w:hint="eastAsia"/>
          <w:lang w:val="en-US" w:eastAsia="zh-CN"/>
        </w:rPr>
        <w:t>登录试点院校业务系统后，点顶部菜单中的考试管理菜单，打开考试科目栏目</w:t>
      </w:r>
    </w:p>
    <w:p>
      <w:r>
        <w:drawing>
          <wp:inline distT="0" distB="0" distL="114300" distR="114300">
            <wp:extent cx="5266690" cy="2658110"/>
            <wp:effectExtent l="0" t="0" r="10160" b="889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7"/>
                    <a:stretch>
                      <a:fillRect/>
                    </a:stretch>
                  </pic:blipFill>
                  <pic:spPr>
                    <a:xfrm>
                      <a:off x="0" y="0"/>
                      <a:ext cx="5266690" cy="2658110"/>
                    </a:xfrm>
                    <a:prstGeom prst="rect">
                      <a:avLst/>
                    </a:prstGeom>
                    <a:noFill/>
                    <a:ln>
                      <a:noFill/>
                    </a:ln>
                  </pic:spPr>
                </pic:pic>
              </a:graphicData>
            </a:graphic>
          </wp:inline>
        </w:drawing>
      </w:r>
    </w:p>
    <w:p>
      <w:pPr>
        <w:numPr>
          <w:ilvl w:val="0"/>
          <w:numId w:val="0"/>
        </w:numPr>
        <w:bidi w:val="0"/>
        <w:rPr>
          <w:rFonts w:hint="eastAsia"/>
          <w:lang w:val="en-US" w:eastAsia="zh-CN"/>
        </w:rPr>
      </w:pPr>
      <w:r>
        <w:rPr>
          <w:rFonts w:hint="eastAsia"/>
          <w:lang w:val="en-US" w:eastAsia="zh-CN"/>
        </w:rPr>
        <w:t>在这里可以查看到各培训评价组织发布的证书需要考试的科目信息。注意有些证书会存在同一个证书、不同类型的学生考试的科目不一样的情况，如果参考对象不是</w:t>
      </w:r>
      <w:r>
        <w:rPr>
          <w:rFonts w:hint="default"/>
          <w:lang w:val="en-US" w:eastAsia="zh-CN"/>
        </w:rPr>
        <w:t>”</w:t>
      </w:r>
      <w:r>
        <w:rPr>
          <w:rFonts w:hint="eastAsia"/>
          <w:lang w:val="en-US" w:eastAsia="zh-CN"/>
        </w:rPr>
        <w:t>所有考生</w:t>
      </w:r>
      <w:r>
        <w:rPr>
          <w:rFonts w:hint="default"/>
          <w:lang w:val="en-US" w:eastAsia="zh-CN"/>
        </w:rPr>
        <w:t>”</w:t>
      </w:r>
      <w:r>
        <w:rPr>
          <w:rFonts w:hint="eastAsia"/>
          <w:lang w:val="en-US" w:eastAsia="zh-CN"/>
        </w:rPr>
        <w:t>，那么报考的时候需要填写考生所属参考对象类型方可正常完成报考。具体以培训评价组织的考试计划为准。</w:t>
      </w:r>
    </w:p>
    <w:p>
      <w:pPr>
        <w:numPr>
          <w:ilvl w:val="0"/>
          <w:numId w:val="0"/>
        </w:numPr>
        <w:bidi w:val="0"/>
        <w:rPr>
          <w:rFonts w:hint="eastAsia"/>
          <w:lang w:val="en-US" w:eastAsia="zh-CN"/>
        </w:rPr>
      </w:pPr>
    </w:p>
    <w:p>
      <w:pPr>
        <w:pStyle w:val="3"/>
        <w:numPr>
          <w:ilvl w:val="0"/>
          <w:numId w:val="4"/>
        </w:numPr>
        <w:bidi w:val="0"/>
        <w:rPr>
          <w:rFonts w:hint="default"/>
          <w:lang w:val="en-US" w:eastAsia="zh-CN"/>
        </w:rPr>
      </w:pPr>
      <w:bookmarkStart w:id="4" w:name="_Toc480431610"/>
      <w:r>
        <w:rPr>
          <w:rFonts w:hint="eastAsia"/>
          <w:lang w:val="en-US" w:eastAsia="zh-CN"/>
        </w:rPr>
        <w:t>查看考试计划</w:t>
      </w:r>
      <w:bookmarkEnd w:id="4"/>
    </w:p>
    <w:p>
      <w:pPr>
        <w:ind w:firstLine="420" w:firstLineChars="0"/>
        <w:rPr>
          <w:rFonts w:hint="eastAsia"/>
          <w:lang w:val="en-US" w:eastAsia="zh-CN"/>
        </w:rPr>
      </w:pPr>
      <w:r>
        <w:rPr>
          <w:rFonts w:hint="eastAsia"/>
          <w:lang w:val="en-US" w:eastAsia="zh-CN"/>
        </w:rPr>
        <w:t>在考试管理菜单中，打开考试计划栏目，在这里可以查看到各培训评价组织发布的考试组织计划，试点院校可根据计划安排，了解考试组织时间安排、要求等，根据计划要求完成相关的考试组织工作。</w:t>
      </w:r>
    </w:p>
    <w:p>
      <w:pPr>
        <w:ind w:firstLine="420" w:firstLineChars="0"/>
      </w:pPr>
      <w:r>
        <w:drawing>
          <wp:inline distT="0" distB="0" distL="114300" distR="114300">
            <wp:extent cx="5266690" cy="2658110"/>
            <wp:effectExtent l="0" t="0" r="10160" b="889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8"/>
                    <a:stretch>
                      <a:fillRect/>
                    </a:stretch>
                  </pic:blipFill>
                  <pic:spPr>
                    <a:xfrm>
                      <a:off x="0" y="0"/>
                      <a:ext cx="5266690" cy="2658110"/>
                    </a:xfrm>
                    <a:prstGeom prst="rect">
                      <a:avLst/>
                    </a:prstGeom>
                    <a:noFill/>
                    <a:ln>
                      <a:noFill/>
                    </a:ln>
                  </pic:spPr>
                </pic:pic>
              </a:graphicData>
            </a:graphic>
          </wp:inline>
        </w:drawing>
      </w:r>
    </w:p>
    <w:p>
      <w:pPr>
        <w:ind w:firstLine="420" w:firstLineChars="0"/>
      </w:pPr>
      <w:r>
        <w:drawing>
          <wp:inline distT="0" distB="0" distL="114300" distR="114300">
            <wp:extent cx="5268595" cy="4932045"/>
            <wp:effectExtent l="0" t="0" r="8255" b="190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9"/>
                    <a:stretch>
                      <a:fillRect/>
                    </a:stretch>
                  </pic:blipFill>
                  <pic:spPr>
                    <a:xfrm>
                      <a:off x="0" y="0"/>
                      <a:ext cx="5268595" cy="4932045"/>
                    </a:xfrm>
                    <a:prstGeom prst="rect">
                      <a:avLst/>
                    </a:prstGeom>
                    <a:noFill/>
                    <a:ln>
                      <a:noFill/>
                    </a:ln>
                  </pic:spPr>
                </pic:pic>
              </a:graphicData>
            </a:graphic>
          </wp:inline>
        </w:drawing>
      </w:r>
    </w:p>
    <w:p>
      <w:pPr>
        <w:ind w:firstLine="420" w:firstLineChars="0"/>
      </w:pPr>
    </w:p>
    <w:p>
      <w:pPr>
        <w:ind w:firstLine="420" w:firstLineChars="0"/>
        <w:rPr>
          <w:rFonts w:hint="eastAsia"/>
          <w:lang w:val="en-US" w:eastAsia="zh-CN"/>
        </w:rPr>
      </w:pPr>
      <w:r>
        <w:rPr>
          <w:rFonts w:hint="eastAsia"/>
          <w:lang w:val="en-US" w:eastAsia="zh-CN"/>
        </w:rPr>
        <w:t>试点院校需要在考试计划时间范围内，完成考点申报、考场设置、考生信息录入、报考等考试组织工作。</w:t>
      </w:r>
    </w:p>
    <w:p>
      <w:pPr>
        <w:ind w:firstLine="420" w:firstLineChars="0"/>
        <w:rPr>
          <w:rFonts w:hint="eastAsia"/>
          <w:lang w:val="en-US" w:eastAsia="zh-CN"/>
        </w:rPr>
      </w:pPr>
    </w:p>
    <w:p>
      <w:pPr>
        <w:pStyle w:val="3"/>
        <w:numPr>
          <w:ilvl w:val="0"/>
          <w:numId w:val="4"/>
        </w:numPr>
        <w:bidi w:val="0"/>
        <w:rPr>
          <w:rFonts w:hint="default"/>
          <w:lang w:val="en-US" w:eastAsia="zh-CN"/>
        </w:rPr>
      </w:pPr>
      <w:bookmarkStart w:id="5" w:name="_Toc75556550"/>
      <w:r>
        <w:rPr>
          <w:rFonts w:hint="eastAsia"/>
          <w:lang w:val="en-US" w:eastAsia="zh-CN"/>
        </w:rPr>
        <w:t>管理考生信息</w:t>
      </w:r>
      <w:bookmarkEnd w:id="5"/>
    </w:p>
    <w:p>
      <w:pPr>
        <w:ind w:firstLine="420" w:firstLineChars="0"/>
        <w:rPr>
          <w:rFonts w:hint="eastAsia"/>
          <w:lang w:val="en-US" w:eastAsia="zh-CN"/>
        </w:rPr>
      </w:pPr>
      <w:r>
        <w:rPr>
          <w:rFonts w:hint="eastAsia"/>
          <w:lang w:val="en-US" w:eastAsia="zh-CN"/>
        </w:rPr>
        <w:t>在考试管理菜单中，打开考生管理栏目，可以在这里管理考生信息，考生信息分为两种，院校考生和社会考生。院校考生指的是试点院校自己的学生。社会考生指的是试点院校和培训评价组织合作向社会提供证书培训和考证服务而招收的培训生。</w:t>
      </w:r>
    </w:p>
    <w:p>
      <w:pPr>
        <w:ind w:firstLine="420" w:firstLineChars="0"/>
      </w:pPr>
      <w:r>
        <w:drawing>
          <wp:inline distT="0" distB="0" distL="114300" distR="114300">
            <wp:extent cx="5273675" cy="1847215"/>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3675" cy="1847215"/>
                    </a:xfrm>
                    <a:prstGeom prst="rect">
                      <a:avLst/>
                    </a:prstGeom>
                    <a:noFill/>
                    <a:ln>
                      <a:noFill/>
                    </a:ln>
                  </pic:spPr>
                </pic:pic>
              </a:graphicData>
            </a:graphic>
          </wp:inline>
        </w:drawing>
      </w:r>
    </w:p>
    <w:p>
      <w:pPr>
        <w:ind w:firstLine="420" w:firstLineChars="0"/>
      </w:pPr>
    </w:p>
    <w:p>
      <w:pPr>
        <w:ind w:firstLine="420" w:firstLineChars="0"/>
        <w:rPr>
          <w:rFonts w:hint="eastAsia"/>
          <w:lang w:val="en-US" w:eastAsia="zh-CN"/>
        </w:rPr>
      </w:pPr>
      <w:r>
        <w:rPr>
          <w:rFonts w:hint="eastAsia"/>
          <w:lang w:val="en-US" w:eastAsia="zh-CN"/>
        </w:rPr>
        <w:t>根据学生类型分别在院校考生和社会考生栏目中可以管理学生信息。支持批量导入和单个新增。批量导入按照步骤下载模板填写好信息导入即可。单个新增则按照表单要求填写好信息，保存即可。</w:t>
      </w:r>
    </w:p>
    <w:p>
      <w:pPr>
        <w:ind w:firstLine="420" w:firstLineChars="0"/>
        <w:rPr>
          <w:rFonts w:hint="eastAsia"/>
          <w:b/>
          <w:bCs/>
          <w:color w:val="FF0000"/>
          <w:lang w:val="en-US" w:eastAsia="zh-CN"/>
        </w:rPr>
      </w:pPr>
      <w:r>
        <w:rPr>
          <w:rFonts w:hint="eastAsia"/>
          <w:b/>
          <w:bCs/>
          <w:color w:val="FF0000"/>
          <w:lang w:val="en-US" w:eastAsia="zh-CN"/>
        </w:rPr>
        <w:t>考生管理需要完成以下几件事情</w:t>
      </w:r>
    </w:p>
    <w:p>
      <w:pPr>
        <w:numPr>
          <w:ilvl w:val="0"/>
          <w:numId w:val="5"/>
        </w:numPr>
        <w:ind w:left="420" w:leftChars="0" w:hanging="420" w:firstLineChars="0"/>
        <w:rPr>
          <w:rFonts w:hint="eastAsia"/>
          <w:b/>
          <w:bCs/>
          <w:color w:val="FF0000"/>
          <w:lang w:val="en-US" w:eastAsia="zh-CN"/>
        </w:rPr>
      </w:pPr>
      <w:r>
        <w:rPr>
          <w:rFonts w:hint="eastAsia"/>
          <w:b/>
          <w:bCs/>
          <w:color w:val="FF0000"/>
          <w:lang w:val="en-US" w:eastAsia="zh-CN"/>
        </w:rPr>
        <w:t>导入考生信息</w:t>
      </w:r>
    </w:p>
    <w:p>
      <w:pPr>
        <w:ind w:firstLine="420" w:firstLineChars="0"/>
        <w:rPr>
          <w:rFonts w:hint="eastAsia"/>
          <w:lang w:val="en-US" w:eastAsia="zh-CN"/>
        </w:rPr>
      </w:pPr>
      <w:r>
        <w:rPr>
          <w:rFonts w:hint="eastAsia"/>
          <w:lang w:val="en-US" w:eastAsia="zh-CN"/>
        </w:rPr>
        <w:t>将考生的基本信息包括姓名、姓名拼音、身份号、手机号、就读专业、专业层次、入学年份。通过右上角的批量导入考生信息的功能，按照EXCE表格填写要求，填写好后，批量导入即可</w:t>
      </w:r>
    </w:p>
    <w:p>
      <w:pPr>
        <w:numPr>
          <w:ilvl w:val="0"/>
          <w:numId w:val="5"/>
        </w:numPr>
        <w:ind w:left="420" w:leftChars="0" w:hanging="420" w:firstLineChars="0"/>
        <w:rPr>
          <w:rFonts w:hint="eastAsia"/>
          <w:b/>
          <w:bCs/>
          <w:color w:val="FF0000"/>
          <w:lang w:val="en-US" w:eastAsia="zh-CN"/>
        </w:rPr>
      </w:pPr>
      <w:r>
        <w:rPr>
          <w:rFonts w:hint="eastAsia"/>
          <w:b/>
          <w:bCs/>
          <w:color w:val="FF0000"/>
          <w:lang w:val="en-US" w:eastAsia="zh-CN"/>
        </w:rPr>
        <w:t>批量导入考生照片</w:t>
      </w:r>
    </w:p>
    <w:p>
      <w:pPr>
        <w:ind w:firstLine="420" w:firstLineChars="0"/>
        <w:rPr>
          <w:rFonts w:hint="eastAsia"/>
          <w:lang w:val="en-US" w:eastAsia="zh-CN"/>
        </w:rPr>
      </w:pPr>
      <w:r>
        <w:rPr>
          <w:rFonts w:hint="eastAsia"/>
          <w:lang w:val="en-US" w:eastAsia="zh-CN"/>
        </w:rPr>
        <w:t>由于考试需要生成准考证以及发证是需要学生的电子照片，因此导入考生信息后需要在考生管理中导入考生的小一寸照片。点击右上角的批量导入学生照片按钮，按照要求准备好照片批量导入即可。</w:t>
      </w:r>
    </w:p>
    <w:p>
      <w:pPr>
        <w:ind w:firstLine="420" w:firstLineChars="0"/>
        <w:rPr>
          <w:rFonts w:hint="eastAsia"/>
          <w:b/>
          <w:bCs/>
          <w:color w:val="FF0000"/>
          <w:lang w:val="en-US" w:eastAsia="zh-CN"/>
        </w:rPr>
      </w:pPr>
      <w:r>
        <w:rPr>
          <w:rFonts w:hint="eastAsia"/>
          <w:b/>
          <w:bCs/>
          <w:color w:val="FF0000"/>
          <w:lang w:val="en-US" w:eastAsia="zh-CN"/>
        </w:rPr>
        <w:t>导入照片的格式要求如下：</w:t>
      </w:r>
    </w:p>
    <w:p>
      <w:pPr>
        <w:ind w:firstLine="420" w:firstLineChars="0"/>
        <w:rPr>
          <w:rFonts w:hint="eastAsia"/>
          <w:color w:val="FF0000"/>
          <w:lang w:val="en-US" w:eastAsia="zh-CN"/>
        </w:rPr>
      </w:pPr>
      <w:r>
        <w:rPr>
          <w:rFonts w:hint="eastAsia"/>
          <w:color w:val="FF0000"/>
          <w:lang w:val="en-US" w:eastAsia="zh-CN"/>
        </w:rPr>
        <w:t>请先将学生的标准小1寸照片命名为“身份证.jpg”，再压缩打包成".zip"格式的压缩文件后进行批量导入。学生照片标准请参照下列要求准备</w:t>
      </w:r>
    </w:p>
    <w:p>
      <w:pPr>
        <w:ind w:firstLine="420" w:firstLineChars="0"/>
        <w:rPr>
          <w:rFonts w:hint="eastAsia"/>
          <w:lang w:val="en-US" w:eastAsia="zh-CN"/>
        </w:rPr>
      </w:pPr>
    </w:p>
    <w:p>
      <w:pPr>
        <w:ind w:firstLine="420" w:firstLineChars="0"/>
        <w:rPr>
          <w:rFonts w:hint="eastAsia"/>
          <w:color w:val="FF0000"/>
          <w:lang w:val="en-US" w:eastAsia="zh-CN"/>
        </w:rPr>
      </w:pPr>
      <w:r>
        <w:rPr>
          <w:rFonts w:hint="default"/>
          <w:color w:val="FF0000"/>
          <w:lang w:val="en-US" w:eastAsia="zh-CN"/>
        </w:rPr>
        <w:t>1、照片格式：jpg、png</w:t>
      </w:r>
    </w:p>
    <w:p>
      <w:pPr>
        <w:ind w:firstLine="420" w:firstLineChars="0"/>
        <w:rPr>
          <w:rFonts w:hint="default"/>
          <w:color w:val="FF0000"/>
          <w:lang w:val="en-US" w:eastAsia="zh-CN"/>
        </w:rPr>
      </w:pPr>
      <w:r>
        <w:rPr>
          <w:rFonts w:hint="default"/>
          <w:color w:val="FF0000"/>
          <w:lang w:val="en-US" w:eastAsia="zh-CN"/>
        </w:rPr>
        <w:t>2、照片大小：5M以内</w:t>
      </w:r>
    </w:p>
    <w:p>
      <w:pPr>
        <w:ind w:firstLine="420" w:firstLineChars="0"/>
        <w:rPr>
          <w:rFonts w:hint="default"/>
          <w:color w:val="FF0000"/>
          <w:lang w:val="en-US" w:eastAsia="zh-CN"/>
        </w:rPr>
      </w:pPr>
      <w:r>
        <w:rPr>
          <w:rFonts w:hint="default"/>
          <w:color w:val="FF0000"/>
          <w:lang w:val="en-US" w:eastAsia="zh-CN"/>
        </w:rPr>
        <w:t>3、照片像素：295*413</w:t>
      </w:r>
    </w:p>
    <w:p>
      <w:pPr>
        <w:ind w:firstLine="420" w:firstLineChars="0"/>
        <w:rPr>
          <w:rFonts w:hint="default"/>
          <w:color w:val="FF0000"/>
          <w:lang w:val="en-US" w:eastAsia="zh-CN"/>
        </w:rPr>
      </w:pPr>
      <w:r>
        <w:rPr>
          <w:rFonts w:hint="default"/>
          <w:color w:val="FF0000"/>
          <w:lang w:val="en-US" w:eastAsia="zh-CN"/>
        </w:rPr>
        <w:t>4、照片尺寸：2.7cm x 3.8cm（宽*长），标准小一寸照片</w:t>
      </w:r>
      <w:r>
        <w:rPr>
          <w:rFonts w:hint="eastAsia"/>
          <w:color w:val="FF0000"/>
          <w:lang w:val="en-US" w:eastAsia="zh-CN"/>
        </w:rPr>
        <w:t>，个别小一寸照片有尺寸的稍微差别，这个可以忽略，只要是小一寸照片即可。</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firstLineChars="0"/>
        <w:rPr>
          <w:rFonts w:ascii="Helvetica" w:hAnsi="Helvetica" w:eastAsia="Helvetica" w:cs="Helvetica"/>
          <w:i w:val="0"/>
          <w:caps w:val="0"/>
          <w:color w:val="606266"/>
          <w:spacing w:val="0"/>
          <w:sz w:val="21"/>
          <w:szCs w:val="21"/>
          <w:shd w:val="clear" w:fill="FFFFFF"/>
        </w:rPr>
      </w:pPr>
      <w:r>
        <w:rPr>
          <w:rFonts w:hint="default" w:eastAsia="微软雅黑" w:asciiTheme="minorAscii" w:hAnsiTheme="minorAscii" w:cstheme="minorBidi"/>
          <w:color w:val="FF0000"/>
          <w:kern w:val="2"/>
          <w:sz w:val="24"/>
          <w:szCs w:val="24"/>
          <w:lang w:val="en-US" w:eastAsia="zh-CN" w:bidi="ar-SA"/>
        </w:rPr>
        <w:t>5、照片底色：红色</w:t>
      </w:r>
    </w:p>
    <w:p>
      <w:pPr>
        <w:ind w:firstLine="420" w:firstLineChars="0"/>
        <w:rPr>
          <w:rFonts w:hint="default"/>
          <w:lang w:val="en-US" w:eastAsia="zh-CN"/>
        </w:rPr>
      </w:pPr>
    </w:p>
    <w:p>
      <w:pPr>
        <w:numPr>
          <w:ilvl w:val="0"/>
          <w:numId w:val="5"/>
        </w:numPr>
        <w:ind w:left="420" w:leftChars="0" w:hanging="420" w:firstLineChars="0"/>
        <w:rPr>
          <w:rFonts w:hint="default"/>
          <w:color w:val="FF0000"/>
          <w:lang w:val="en-US" w:eastAsia="zh-CN"/>
        </w:rPr>
      </w:pPr>
      <w:r>
        <w:rPr>
          <w:rFonts w:hint="eastAsia"/>
          <w:b/>
          <w:bCs/>
          <w:color w:val="FF0000"/>
          <w:lang w:val="en-US" w:eastAsia="zh-CN"/>
        </w:rPr>
        <w:t>修改考生信息（如果考生信息都是完整的这一步可以不用）</w:t>
      </w:r>
    </w:p>
    <w:p>
      <w:pPr>
        <w:ind w:firstLine="420" w:firstLineChars="0"/>
        <w:rPr>
          <w:rFonts w:hint="default"/>
          <w:lang w:val="en-US" w:eastAsia="zh-CN"/>
        </w:rPr>
      </w:pPr>
      <w:r>
        <w:rPr>
          <w:rFonts w:hint="eastAsia"/>
          <w:lang w:val="en-US" w:eastAsia="zh-CN"/>
        </w:rPr>
        <w:t>由于有些学生是参与过去年的考试的，当时学生信息收集不完善，系统中只有学生姓名、身份证号两个信息，其他的信息需要各学校自己补充好。可以通过右上角批量导出考生信息功能，将考生信息都导出来，然后找出信息不完善的考生，完善信息后。再点击批量修改考生信息的按钮，通过批量修改功能，按导入模板要求填写好表格后，导入批量修改。</w:t>
      </w:r>
    </w:p>
    <w:p>
      <w:pPr>
        <w:rPr>
          <w:rFonts w:hint="default"/>
          <w:lang w:val="en-US" w:eastAsia="zh-CN"/>
        </w:rPr>
      </w:pPr>
    </w:p>
    <w:p>
      <w:pPr>
        <w:ind w:firstLine="420" w:firstLineChars="0"/>
        <w:rPr>
          <w:rFonts w:hint="default"/>
          <w:lang w:val="en-US" w:eastAsia="zh-CN"/>
        </w:rPr>
      </w:pPr>
    </w:p>
    <w:p>
      <w:pPr>
        <w:pStyle w:val="3"/>
        <w:numPr>
          <w:ilvl w:val="0"/>
          <w:numId w:val="4"/>
        </w:numPr>
        <w:bidi w:val="0"/>
        <w:rPr>
          <w:rFonts w:hint="default"/>
          <w:lang w:val="en-US" w:eastAsia="zh-CN"/>
        </w:rPr>
      </w:pPr>
      <w:bookmarkStart w:id="6" w:name="_Toc716100473"/>
      <w:r>
        <w:rPr>
          <w:rFonts w:hint="eastAsia"/>
          <w:lang w:val="en-US" w:eastAsia="zh-CN"/>
        </w:rPr>
        <w:t>申报考核站点</w:t>
      </w:r>
      <w:bookmarkEnd w:id="6"/>
    </w:p>
    <w:p>
      <w:pPr>
        <w:ind w:firstLine="420" w:firstLineChars="0"/>
        <w:rPr>
          <w:rFonts w:hint="default"/>
          <w:lang w:val="en-US" w:eastAsia="zh-CN"/>
        </w:rPr>
      </w:pPr>
      <w:r>
        <w:rPr>
          <w:rFonts w:hint="eastAsia"/>
          <w:lang w:val="en-US" w:eastAsia="zh-CN"/>
        </w:rPr>
        <w:t>在考试管理菜单中，打开申报考点栏目，可以在这里申报考核站点。院校如果要组织证书的考试，需要向培训评价组织申报考点，申报的考点由培训评价组织审批通过后方可组织学生考试。若您所在的院校不符合培训评价组织的考核站点建设标准要求，可以向培训评价组织申请去其他有考核站点的试点院校借考。借考分配由培训评价组织操作处理。</w:t>
      </w:r>
    </w:p>
    <w:p>
      <w:pPr>
        <w:rPr>
          <w:rFonts w:hint="default"/>
          <w:lang w:val="en-US" w:eastAsia="zh-CN"/>
        </w:rPr>
      </w:pPr>
    </w:p>
    <w:p>
      <w:r>
        <w:drawing>
          <wp:inline distT="0" distB="0" distL="114300" distR="114300">
            <wp:extent cx="5266690" cy="2014220"/>
            <wp:effectExtent l="0" t="0" r="10160" b="50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5266690" cy="2014220"/>
                    </a:xfrm>
                    <a:prstGeom prst="rect">
                      <a:avLst/>
                    </a:prstGeom>
                    <a:noFill/>
                    <a:ln>
                      <a:noFill/>
                    </a:ln>
                  </pic:spPr>
                </pic:pic>
              </a:graphicData>
            </a:graphic>
          </wp:inline>
        </w:drawing>
      </w:r>
    </w:p>
    <w:p/>
    <w:p>
      <w:r>
        <w:drawing>
          <wp:inline distT="0" distB="0" distL="114300" distR="114300">
            <wp:extent cx="5271770" cy="5461635"/>
            <wp:effectExtent l="0" t="0" r="5080" b="571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2"/>
                    <a:stretch>
                      <a:fillRect/>
                    </a:stretch>
                  </pic:blipFill>
                  <pic:spPr>
                    <a:xfrm>
                      <a:off x="0" y="0"/>
                      <a:ext cx="5271770" cy="5461635"/>
                    </a:xfrm>
                    <a:prstGeom prst="rect">
                      <a:avLst/>
                    </a:prstGeom>
                    <a:noFill/>
                    <a:ln>
                      <a:noFill/>
                    </a:ln>
                  </pic:spPr>
                </pic:pic>
              </a:graphicData>
            </a:graphic>
          </wp:inline>
        </w:drawing>
      </w:r>
    </w:p>
    <w:p>
      <w:pPr>
        <w:numPr>
          <w:ilvl w:val="0"/>
          <w:numId w:val="6"/>
        </w:numPr>
        <w:ind w:left="420" w:leftChars="0" w:hanging="420" w:firstLineChars="0"/>
        <w:rPr>
          <w:rFonts w:hint="eastAsia"/>
          <w:color w:val="FF0000"/>
          <w:lang w:val="en-US" w:eastAsia="zh-CN"/>
        </w:rPr>
      </w:pPr>
      <w:r>
        <w:rPr>
          <w:rFonts w:hint="eastAsia"/>
          <w:color w:val="FF0000"/>
          <w:lang w:val="en-US" w:eastAsia="zh-CN"/>
        </w:rPr>
        <w:t>所有标*的均为必填项，请按要求填写好。其中有一项叫做其他佐证材料，这个根据培训评价组织要求来填写，若没要求则可以不填写。</w:t>
      </w:r>
    </w:p>
    <w:p>
      <w:pPr>
        <w:numPr>
          <w:ilvl w:val="0"/>
          <w:numId w:val="6"/>
        </w:numPr>
        <w:ind w:left="420" w:leftChars="0" w:hanging="420" w:firstLineChars="0"/>
        <w:rPr>
          <w:rFonts w:hint="default"/>
          <w:color w:val="FF0000"/>
          <w:lang w:val="en-US" w:eastAsia="zh-CN"/>
        </w:rPr>
      </w:pPr>
      <w:r>
        <w:rPr>
          <w:rFonts w:hint="eastAsia"/>
          <w:color w:val="FF0000"/>
          <w:lang w:val="en-US" w:eastAsia="zh-CN"/>
        </w:rPr>
        <w:t>为了提高辨识度，考点名称命名可以参照这个格式：学校名称+证书简称+考核站点。例如：昌平职业技术学校WEB证书考核站点</w:t>
      </w:r>
    </w:p>
    <w:p>
      <w:pPr>
        <w:ind w:firstLine="420" w:firstLineChars="0"/>
        <w:rPr>
          <w:rFonts w:hint="default"/>
          <w:color w:val="auto"/>
          <w:lang w:val="en-US" w:eastAsia="zh-CN"/>
        </w:rPr>
      </w:pPr>
    </w:p>
    <w:p>
      <w:pPr>
        <w:pStyle w:val="3"/>
        <w:numPr>
          <w:ilvl w:val="0"/>
          <w:numId w:val="4"/>
        </w:numPr>
        <w:bidi w:val="0"/>
        <w:rPr>
          <w:rFonts w:hint="default"/>
          <w:lang w:val="en-US" w:eastAsia="zh-CN"/>
        </w:rPr>
      </w:pPr>
      <w:bookmarkStart w:id="7" w:name="_Toc1002291923"/>
      <w:r>
        <w:rPr>
          <w:rFonts w:hint="eastAsia"/>
          <w:lang w:val="en-US" w:eastAsia="zh-CN"/>
        </w:rPr>
        <w:t>设置考场信息</w:t>
      </w:r>
      <w:bookmarkEnd w:id="7"/>
    </w:p>
    <w:p>
      <w:pPr>
        <w:ind w:firstLine="420" w:firstLineChars="0"/>
        <w:rPr>
          <w:rFonts w:hint="eastAsia"/>
          <w:lang w:val="en-US" w:eastAsia="zh-CN"/>
        </w:rPr>
      </w:pPr>
      <w:r>
        <w:rPr>
          <w:rFonts w:hint="eastAsia"/>
          <w:lang w:val="en-US" w:eastAsia="zh-CN"/>
        </w:rPr>
        <w:t>考核站点申请后，需要在考场管理栏目中为考核站点设置考场信息，考场信息是参加每次考试均需要设置一次的。如果考场信息没啥变化，也可以沿用之前的考场设置记录。考场设置主要是设置考核站点有几个考场，每个考场有多少座位等信息。</w:t>
      </w:r>
    </w:p>
    <w:p>
      <w:r>
        <w:drawing>
          <wp:inline distT="0" distB="0" distL="114300" distR="114300">
            <wp:extent cx="5266690" cy="1880235"/>
            <wp:effectExtent l="0" t="0" r="10160"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5266690" cy="1880235"/>
                    </a:xfrm>
                    <a:prstGeom prst="rect">
                      <a:avLst/>
                    </a:prstGeom>
                    <a:noFill/>
                    <a:ln>
                      <a:noFill/>
                    </a:ln>
                  </pic:spPr>
                </pic:pic>
              </a:graphicData>
            </a:graphic>
          </wp:inline>
        </w:drawing>
      </w:r>
    </w:p>
    <w:p>
      <w:r>
        <w:drawing>
          <wp:inline distT="0" distB="0" distL="114300" distR="114300">
            <wp:extent cx="5271770" cy="3484245"/>
            <wp:effectExtent l="0" t="0" r="5080" b="19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5271770" cy="3484245"/>
                    </a:xfrm>
                    <a:prstGeom prst="rect">
                      <a:avLst/>
                    </a:prstGeom>
                    <a:noFill/>
                    <a:ln>
                      <a:noFill/>
                    </a:ln>
                  </pic:spPr>
                </pic:pic>
              </a:graphicData>
            </a:graphic>
          </wp:inline>
        </w:drawing>
      </w:r>
    </w:p>
    <w:p>
      <w:pPr>
        <w:ind w:firstLine="420" w:firstLineChars="0"/>
      </w:pPr>
    </w:p>
    <w:p>
      <w:pPr>
        <w:numPr>
          <w:ilvl w:val="0"/>
          <w:numId w:val="7"/>
        </w:numPr>
        <w:ind w:left="420" w:leftChars="0" w:hanging="420" w:firstLineChars="0"/>
        <w:rPr>
          <w:color w:val="FF0000"/>
        </w:rPr>
      </w:pPr>
      <w:r>
        <w:rPr>
          <w:rFonts w:hint="eastAsia"/>
          <w:color w:val="FF0000"/>
          <w:lang w:val="en-US" w:eastAsia="zh-CN"/>
        </w:rPr>
        <w:t>填写考场名称时，请注意命名不要太随意，考场指的是机房、教室或实训室，填写名字的时候尽量填写机房、教室、实训室的名字。例如：：107室；13号机房此类的命名。</w:t>
      </w:r>
    </w:p>
    <w:p>
      <w:pPr>
        <w:numPr>
          <w:ilvl w:val="0"/>
          <w:numId w:val="7"/>
        </w:numPr>
        <w:ind w:left="420" w:leftChars="0" w:hanging="420" w:firstLineChars="0"/>
        <w:rPr>
          <w:rFonts w:hint="eastAsia"/>
          <w:color w:val="FF0000"/>
          <w:lang w:val="en-US" w:eastAsia="zh-CN"/>
        </w:rPr>
      </w:pPr>
      <w:r>
        <w:rPr>
          <w:rFonts w:hint="eastAsia"/>
          <w:color w:val="FF0000"/>
          <w:lang w:val="en-US" w:eastAsia="zh-CN"/>
        </w:rPr>
        <w:t>选择考场类型时，请根据考场的功能属性选择，目前有3中考场类型。机考考场、实操考场、笔试考场。请按实际情况选择，排考的时候会根据科目的考试类型来匹配对应的考场。比如科目的考试类型是机考，那么只能排考到机考考场里面。</w:t>
      </w:r>
    </w:p>
    <w:p>
      <w:pPr>
        <w:numPr>
          <w:ilvl w:val="0"/>
          <w:numId w:val="7"/>
        </w:numPr>
        <w:ind w:left="420" w:leftChars="0" w:hanging="420" w:firstLineChars="0"/>
        <w:rPr>
          <w:rFonts w:hint="eastAsia"/>
          <w:color w:val="FF0000"/>
          <w:lang w:val="en-US" w:eastAsia="zh-CN"/>
        </w:rPr>
      </w:pPr>
      <w:r>
        <w:rPr>
          <w:rFonts w:hint="eastAsia"/>
          <w:color w:val="FF0000"/>
          <w:lang w:val="en-US" w:eastAsia="zh-CN"/>
        </w:rPr>
        <w:t>填写考场地址时尽量精确到门牌号，便于学生在准考证上查看考场地址，更好的指引考生准确的找到考试地点参加考试</w:t>
      </w:r>
    </w:p>
    <w:p>
      <w:pPr>
        <w:ind w:firstLine="420" w:firstLineChars="0"/>
        <w:rPr>
          <w:rFonts w:hint="default"/>
          <w:color w:val="FF0000"/>
          <w:lang w:val="en-US" w:eastAsia="zh-CN"/>
        </w:rPr>
      </w:pPr>
    </w:p>
    <w:p>
      <w:pPr>
        <w:pStyle w:val="3"/>
        <w:numPr>
          <w:ilvl w:val="0"/>
          <w:numId w:val="4"/>
        </w:numPr>
        <w:bidi w:val="0"/>
        <w:rPr>
          <w:rFonts w:hint="default"/>
          <w:lang w:val="en-US" w:eastAsia="zh-CN"/>
        </w:rPr>
      </w:pPr>
      <w:bookmarkStart w:id="8" w:name="_Toc658622793"/>
      <w:r>
        <w:rPr>
          <w:rFonts w:hint="eastAsia"/>
          <w:lang w:val="en-US" w:eastAsia="zh-CN"/>
        </w:rPr>
        <w:t>为学生报考</w:t>
      </w:r>
      <w:bookmarkEnd w:id="8"/>
    </w:p>
    <w:p>
      <w:pPr>
        <w:ind w:firstLine="420" w:firstLineChars="0"/>
        <w:rPr>
          <w:rFonts w:hint="default"/>
          <w:lang w:val="en-US" w:eastAsia="zh-CN"/>
        </w:rPr>
      </w:pPr>
      <w:r>
        <w:rPr>
          <w:rFonts w:hint="eastAsia"/>
          <w:lang w:val="en-US" w:eastAsia="zh-CN"/>
        </w:rPr>
        <w:t>在考生信息和考点申报、考场设置均以完成后，请在报考管理功能中为学生进行报考。点击右上角的批量导入报考按钮即可完成报考</w:t>
      </w:r>
    </w:p>
    <w:p>
      <w:r>
        <w:drawing>
          <wp:inline distT="0" distB="0" distL="114300" distR="114300">
            <wp:extent cx="5266690" cy="2959735"/>
            <wp:effectExtent l="0" t="0" r="10160" b="12065"/>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15"/>
                    <a:stretch>
                      <a:fillRect/>
                    </a:stretch>
                  </pic:blipFill>
                  <pic:spPr>
                    <a:xfrm>
                      <a:off x="0" y="0"/>
                      <a:ext cx="5266690" cy="2959735"/>
                    </a:xfrm>
                    <a:prstGeom prst="rect">
                      <a:avLst/>
                    </a:prstGeom>
                    <a:noFill/>
                    <a:ln>
                      <a:noFill/>
                    </a:ln>
                  </pic:spPr>
                </pic:pic>
              </a:graphicData>
            </a:graphic>
          </wp:inline>
        </w:drawing>
      </w:r>
    </w:p>
    <w:p>
      <w:pPr>
        <w:rPr>
          <w:rFonts w:hint="eastAsia"/>
          <w:lang w:val="en-US" w:eastAsia="zh-CN"/>
        </w:rPr>
      </w:pPr>
    </w:p>
    <w:p>
      <w:pPr>
        <w:numPr>
          <w:ilvl w:val="0"/>
          <w:numId w:val="0"/>
        </w:numPr>
        <w:ind w:leftChars="0" w:firstLine="420" w:firstLineChars="0"/>
        <w:rPr>
          <w:rFonts w:hint="default"/>
          <w:color w:val="auto"/>
          <w:lang w:val="en-US" w:eastAsia="zh-CN"/>
        </w:rPr>
      </w:pPr>
      <w:r>
        <w:rPr>
          <w:rFonts w:hint="eastAsia"/>
          <w:color w:val="auto"/>
          <w:lang w:val="en-US" w:eastAsia="zh-CN"/>
        </w:rPr>
        <w:t>目前给学生报考均由试点院校替学生批量报考。报考方式有以下两种，点击报考管理界面右上角的相应按钮即可批量导入报考</w:t>
      </w:r>
    </w:p>
    <w:p>
      <w:pPr>
        <w:numPr>
          <w:ilvl w:val="0"/>
          <w:numId w:val="8"/>
        </w:numPr>
        <w:ind w:left="420" w:leftChars="0" w:hanging="420" w:firstLineChars="0"/>
        <w:rPr>
          <w:rFonts w:hint="eastAsia"/>
          <w:color w:val="auto"/>
          <w:lang w:val="en-US" w:eastAsia="zh-CN"/>
        </w:rPr>
      </w:pPr>
      <w:r>
        <w:rPr>
          <w:rFonts w:hint="eastAsia"/>
          <w:b/>
          <w:bCs/>
          <w:color w:val="FF0000"/>
          <w:lang w:val="en-US" w:eastAsia="zh-CN"/>
        </w:rPr>
        <w:t>按证书批量导入报考：</w:t>
      </w:r>
      <w:r>
        <w:rPr>
          <w:rFonts w:hint="eastAsia"/>
          <w:color w:val="auto"/>
          <w:lang w:val="en-US" w:eastAsia="zh-CN"/>
        </w:rPr>
        <w:t>按证书导入报考，只需要填写报考证书信息，系统会根据考试计划自动报考证书下面设置的所有科目。注意若有个别证书是需要不同专业方向或类型的学生选报证书下不同科目的需求的，请不用采用这个模板报考</w:t>
      </w:r>
    </w:p>
    <w:p>
      <w:pPr>
        <w:numPr>
          <w:ilvl w:val="0"/>
          <w:numId w:val="8"/>
        </w:numPr>
        <w:ind w:left="420" w:leftChars="0" w:hanging="420" w:firstLineChars="0"/>
        <w:rPr>
          <w:rFonts w:hint="eastAsia"/>
          <w:color w:val="auto"/>
          <w:lang w:val="en-US" w:eastAsia="zh-CN"/>
        </w:rPr>
      </w:pPr>
      <w:r>
        <w:rPr>
          <w:rFonts w:hint="eastAsia"/>
          <w:b/>
          <w:bCs/>
          <w:color w:val="FF0000"/>
          <w:lang w:val="en-US" w:eastAsia="zh-CN"/>
        </w:rPr>
        <w:t>按科目批量导入报考：</w:t>
      </w:r>
      <w:r>
        <w:rPr>
          <w:rFonts w:hint="eastAsia"/>
          <w:color w:val="auto"/>
          <w:lang w:val="en-US" w:eastAsia="zh-CN"/>
        </w:rPr>
        <w:t>按考试科目批量报考，需要指定学生具体报考试计划下证书中的哪个科目。这种报考方式适用于有些证书考试需要按照学生专业方向或类型来选择不同科目考试的需求。</w:t>
      </w:r>
    </w:p>
    <w:p>
      <w:pPr>
        <w:numPr>
          <w:ilvl w:val="0"/>
          <w:numId w:val="8"/>
        </w:numPr>
        <w:ind w:left="420" w:leftChars="0" w:hanging="420" w:firstLineChars="0"/>
        <w:rPr>
          <w:rFonts w:hint="eastAsia"/>
          <w:color w:val="auto"/>
          <w:lang w:val="en-US" w:eastAsia="zh-CN"/>
        </w:rPr>
      </w:pPr>
      <w:r>
        <w:rPr>
          <w:rFonts w:hint="eastAsia"/>
          <w:color w:val="auto"/>
          <w:lang w:val="en-US" w:eastAsia="zh-CN"/>
        </w:rPr>
        <w:t>若导入错误，需要重新导入，则请点击右上角的批量删除报考数据的按钮，按要求填写好表格，导入即可删除。</w:t>
      </w:r>
    </w:p>
    <w:p>
      <w:pPr>
        <w:numPr>
          <w:ilvl w:val="0"/>
          <w:numId w:val="8"/>
        </w:numPr>
        <w:ind w:left="420" w:leftChars="0" w:hanging="420" w:firstLineChars="0"/>
        <w:rPr>
          <w:rFonts w:hint="default"/>
          <w:color w:val="auto"/>
          <w:lang w:val="en-US" w:eastAsia="zh-CN"/>
        </w:rPr>
      </w:pPr>
      <w:r>
        <w:rPr>
          <w:rFonts w:hint="eastAsia"/>
          <w:color w:val="auto"/>
          <w:lang w:val="en-US" w:eastAsia="zh-CN"/>
        </w:rPr>
        <w:t>报考工作必须在考试计划的报考时间范围内完成，超过或未到均不能进行报考和删除报考操作。</w:t>
      </w:r>
    </w:p>
    <w:p>
      <w:pPr>
        <w:widowControl w:val="0"/>
        <w:numPr>
          <w:ilvl w:val="0"/>
          <w:numId w:val="0"/>
        </w:numPr>
        <w:jc w:val="left"/>
        <w:rPr>
          <w:rFonts w:hint="eastAsia"/>
          <w:color w:val="auto"/>
          <w:lang w:val="en-US" w:eastAsia="zh-CN"/>
        </w:rPr>
      </w:pPr>
    </w:p>
    <w:p>
      <w:pPr>
        <w:pStyle w:val="3"/>
        <w:numPr>
          <w:ilvl w:val="0"/>
          <w:numId w:val="4"/>
        </w:numPr>
        <w:bidi w:val="0"/>
        <w:rPr>
          <w:rFonts w:hint="default"/>
          <w:color w:val="auto"/>
          <w:lang w:val="en-US" w:eastAsia="zh-CN"/>
        </w:rPr>
      </w:pPr>
      <w:bookmarkStart w:id="9" w:name="_Toc1342565313"/>
      <w:r>
        <w:rPr>
          <w:rFonts w:hint="eastAsia"/>
          <w:color w:val="auto"/>
          <w:lang w:val="en-US" w:eastAsia="zh-CN"/>
        </w:rPr>
        <w:t>批量缴费</w:t>
      </w:r>
      <w:bookmarkEnd w:id="9"/>
    </w:p>
    <w:p>
      <w:pPr>
        <w:ind w:firstLine="420" w:firstLineChars="0"/>
        <w:rPr>
          <w:rFonts w:hint="eastAsia"/>
          <w:color w:val="auto"/>
          <w:lang w:val="en-US" w:eastAsia="zh-CN"/>
        </w:rPr>
      </w:pPr>
      <w:r>
        <w:rPr>
          <w:rFonts w:hint="eastAsia"/>
          <w:color w:val="auto"/>
          <w:lang w:val="en-US" w:eastAsia="zh-CN"/>
        </w:rPr>
        <w:t>若培训评价组织要求在平台上完成缴费申请，可以在平台提供的缴费管理功能中，提交缴费申请单，生成申请单后，可以根据培训评价组织提供的付费方式在线下支付相应的费用。支付费用时请根据缴费申请单来计算需要缴的费用，并给予缴费单号。这样培训评价组织在收到费用收，根据缴费单号就可以核对是否完成缴费。若完成缴费，培训评价组织会在平台上批量确认缴费。这一步完成后，学生的报考记录就会变成已缴费的状态。</w:t>
      </w:r>
    </w:p>
    <w:p>
      <w:pPr>
        <w:ind w:firstLine="420" w:firstLineChars="0"/>
        <w:rPr>
          <w:rFonts w:hint="default"/>
          <w:color w:val="FF0000"/>
          <w:lang w:val="en-US" w:eastAsia="zh-CN"/>
        </w:rPr>
      </w:pPr>
      <w:r>
        <w:rPr>
          <w:rFonts w:hint="eastAsia"/>
          <w:color w:val="FF0000"/>
          <w:lang w:val="en-US" w:eastAsia="zh-CN"/>
        </w:rPr>
        <w:t>若培训评价组织有另外的缴费方式，没有要求在平台生成缴费单，可以不做这一步</w:t>
      </w:r>
    </w:p>
    <w:p>
      <w:r>
        <w:drawing>
          <wp:inline distT="0" distB="0" distL="114300" distR="114300">
            <wp:extent cx="5252720" cy="1938020"/>
            <wp:effectExtent l="0" t="0" r="5080" b="508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6"/>
                    <a:stretch>
                      <a:fillRect/>
                    </a:stretch>
                  </pic:blipFill>
                  <pic:spPr>
                    <a:xfrm>
                      <a:off x="0" y="0"/>
                      <a:ext cx="5252720" cy="1938020"/>
                    </a:xfrm>
                    <a:prstGeom prst="rect">
                      <a:avLst/>
                    </a:prstGeom>
                    <a:noFill/>
                    <a:ln>
                      <a:noFill/>
                    </a:ln>
                  </pic:spPr>
                </pic:pic>
              </a:graphicData>
            </a:graphic>
          </wp:inline>
        </w:drawing>
      </w:r>
    </w:p>
    <w:p/>
    <w:p>
      <w:pPr>
        <w:numPr>
          <w:ilvl w:val="0"/>
          <w:numId w:val="0"/>
        </w:numPr>
        <w:ind w:leftChars="0"/>
        <w:rPr>
          <w:rFonts w:hint="default"/>
          <w:b w:val="0"/>
          <w:bCs w:val="0"/>
          <w:color w:val="auto"/>
          <w:lang w:val="en-US" w:eastAsia="zh-CN"/>
        </w:rPr>
      </w:pPr>
      <w:r>
        <w:rPr>
          <w:rFonts w:hint="eastAsia"/>
          <w:b w:val="0"/>
          <w:bCs w:val="0"/>
          <w:color w:val="auto"/>
          <w:lang w:val="en-US" w:eastAsia="zh-CN"/>
        </w:rPr>
        <w:t>生成缴费申请单有两种方式，可以根据培训评价组织具体的收费方式选择生成缴费单的方式</w:t>
      </w:r>
    </w:p>
    <w:p>
      <w:pPr>
        <w:numPr>
          <w:ilvl w:val="0"/>
          <w:numId w:val="9"/>
        </w:numPr>
        <w:ind w:left="420" w:leftChars="0" w:hanging="420" w:firstLineChars="0"/>
        <w:rPr>
          <w:rFonts w:hint="eastAsia"/>
          <w:lang w:val="en-US" w:eastAsia="zh-CN"/>
        </w:rPr>
      </w:pPr>
      <w:r>
        <w:rPr>
          <w:rFonts w:hint="eastAsia"/>
          <w:b/>
          <w:bCs/>
          <w:color w:val="FF0000"/>
          <w:lang w:val="en-US" w:eastAsia="zh-CN"/>
        </w:rPr>
        <w:t>按报考证书生成缴费申请单：</w:t>
      </w:r>
      <w:r>
        <w:rPr>
          <w:rFonts w:hint="eastAsia"/>
          <w:lang w:val="en-US" w:eastAsia="zh-CN"/>
        </w:rPr>
        <w:t>即按报考证书数收费，本次报考学生报了多少个证书，就根据模板导入多少个条记录。最终会生成一个总的缴费单。线下支付的时候根据缴费单的报考证书个数、以及培训评价组织收费标准计算出总应付款金额，将应付款金额支付给培训评价组织，同时附上缴费单号即可。</w:t>
      </w:r>
    </w:p>
    <w:p>
      <w:pPr>
        <w:numPr>
          <w:ilvl w:val="0"/>
          <w:numId w:val="9"/>
        </w:numPr>
        <w:ind w:left="420" w:leftChars="0" w:hanging="420" w:firstLineChars="0"/>
        <w:rPr>
          <w:rFonts w:hint="default"/>
          <w:lang w:val="en-US" w:eastAsia="zh-CN"/>
        </w:rPr>
      </w:pPr>
      <w:r>
        <w:rPr>
          <w:rFonts w:hint="eastAsia"/>
          <w:b/>
          <w:bCs/>
          <w:color w:val="FF0000"/>
          <w:lang w:val="en-US" w:eastAsia="zh-CN"/>
        </w:rPr>
        <w:t>按报考科目生成缴费申请单：</w:t>
      </w:r>
      <w:r>
        <w:rPr>
          <w:rFonts w:hint="eastAsia"/>
          <w:lang w:val="en-US" w:eastAsia="zh-CN"/>
        </w:rPr>
        <w:t>即按报考科目数收费，本次报考学生报了多少个科目，就根据模板导入多少个条记录。最终会生成一个总的缴费单。线下支付的时候根据缴费单的报考科目科次、以及培训评价组织收费标准计算出总应付款金额，将应付款金额支付给培训评价组织，同时附上缴费单号即可。</w:t>
      </w:r>
    </w:p>
    <w:p>
      <w:pPr>
        <w:numPr>
          <w:ilvl w:val="0"/>
          <w:numId w:val="9"/>
        </w:numPr>
        <w:ind w:left="420" w:leftChars="0" w:hanging="420" w:firstLineChars="0"/>
        <w:rPr>
          <w:rFonts w:hint="default"/>
          <w:lang w:val="en-US" w:eastAsia="zh-CN"/>
        </w:rPr>
      </w:pPr>
      <w:r>
        <w:rPr>
          <w:rFonts w:hint="eastAsia"/>
          <w:lang w:val="en-US" w:eastAsia="zh-CN"/>
        </w:rPr>
        <w:t>缴费单如果导入错了，可以点缴费单后面的删除按钮删除。重新导入。若缴费单以及确认缴费了，不允许做任何修改。</w:t>
      </w:r>
    </w:p>
    <w:p>
      <w:pPr>
        <w:widowControl w:val="0"/>
        <w:numPr>
          <w:ilvl w:val="0"/>
          <w:numId w:val="0"/>
        </w:numPr>
        <w:jc w:val="left"/>
        <w:rPr>
          <w:rFonts w:hint="eastAsia"/>
          <w:lang w:val="en-US" w:eastAsia="zh-CN"/>
        </w:rPr>
      </w:pPr>
    </w:p>
    <w:p>
      <w:pPr>
        <w:widowControl w:val="0"/>
        <w:numPr>
          <w:ilvl w:val="0"/>
          <w:numId w:val="0"/>
        </w:numPr>
        <w:jc w:val="left"/>
        <w:rPr>
          <w:rFonts w:hint="default"/>
          <w:lang w:val="en-US" w:eastAsia="zh-CN"/>
        </w:rPr>
      </w:pPr>
    </w:p>
    <w:p>
      <w:pPr>
        <w:pStyle w:val="3"/>
        <w:numPr>
          <w:ilvl w:val="0"/>
          <w:numId w:val="4"/>
        </w:numPr>
        <w:bidi w:val="0"/>
        <w:rPr>
          <w:rFonts w:hint="default"/>
          <w:color w:val="auto"/>
          <w:lang w:val="en-US" w:eastAsia="zh-CN"/>
        </w:rPr>
      </w:pPr>
      <w:bookmarkStart w:id="10" w:name="_Toc884536562"/>
      <w:r>
        <w:rPr>
          <w:rFonts w:hint="eastAsia"/>
          <w:color w:val="auto"/>
          <w:lang w:val="en-US" w:eastAsia="zh-CN"/>
        </w:rPr>
        <w:t>查看排考信息</w:t>
      </w:r>
      <w:bookmarkEnd w:id="10"/>
    </w:p>
    <w:p>
      <w:pPr>
        <w:ind w:firstLine="420" w:firstLineChars="0"/>
        <w:rPr>
          <w:rFonts w:hint="eastAsia"/>
          <w:lang w:val="en-US" w:eastAsia="zh-CN"/>
        </w:rPr>
      </w:pPr>
      <w:r>
        <w:rPr>
          <w:rFonts w:hint="eastAsia"/>
          <w:lang w:val="en-US" w:eastAsia="zh-CN"/>
        </w:rPr>
        <w:t>报考完成后，培训评价组织会根据您导入的报考记录、申报的考核站点、设置的考场信息来进行排考安排。在排考管理中可以查看到考点编排、考场编排、排考明细等信息。</w:t>
      </w:r>
    </w:p>
    <w:p>
      <w:r>
        <w:drawing>
          <wp:inline distT="0" distB="0" distL="114300" distR="114300">
            <wp:extent cx="5258435" cy="2682875"/>
            <wp:effectExtent l="0" t="0" r="18415" b="317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7"/>
                    <a:stretch>
                      <a:fillRect/>
                    </a:stretch>
                  </pic:blipFill>
                  <pic:spPr>
                    <a:xfrm>
                      <a:off x="0" y="0"/>
                      <a:ext cx="5258435" cy="2682875"/>
                    </a:xfrm>
                    <a:prstGeom prst="rect">
                      <a:avLst/>
                    </a:prstGeom>
                    <a:noFill/>
                    <a:ln>
                      <a:noFill/>
                    </a:ln>
                  </pic:spPr>
                </pic:pic>
              </a:graphicData>
            </a:graphic>
          </wp:inline>
        </w:drawing>
      </w:r>
    </w:p>
    <w:p/>
    <w:p>
      <w:pPr>
        <w:rPr>
          <w:rFonts w:hint="default" w:eastAsia="微软雅黑"/>
          <w:lang w:val="en-US" w:eastAsia="zh-CN"/>
        </w:rPr>
      </w:pPr>
      <w:r>
        <w:rPr>
          <w:rFonts w:hint="eastAsia"/>
          <w:lang w:val="en-US" w:eastAsia="zh-CN"/>
        </w:rPr>
        <w:t>培训评价组织排考完成后，在考场编排功能中可以查看到每场考试的安排情况，并可以查看每场考试的排考明细</w:t>
      </w:r>
    </w:p>
    <w:p>
      <w:r>
        <w:drawing>
          <wp:inline distT="0" distB="0" distL="114300" distR="114300">
            <wp:extent cx="5250180" cy="2604770"/>
            <wp:effectExtent l="0" t="0" r="7620" b="508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8"/>
                    <a:stretch>
                      <a:fillRect/>
                    </a:stretch>
                  </pic:blipFill>
                  <pic:spPr>
                    <a:xfrm>
                      <a:off x="0" y="0"/>
                      <a:ext cx="5250180" cy="2604770"/>
                    </a:xfrm>
                    <a:prstGeom prst="rect">
                      <a:avLst/>
                    </a:prstGeom>
                    <a:noFill/>
                    <a:ln>
                      <a:noFill/>
                    </a:ln>
                  </pic:spPr>
                </pic:pic>
              </a:graphicData>
            </a:graphic>
          </wp:inline>
        </w:drawing>
      </w:r>
    </w:p>
    <w:p/>
    <w:p>
      <w:pPr>
        <w:rPr>
          <w:rFonts w:hint="default" w:eastAsia="微软雅黑"/>
          <w:lang w:val="en-US" w:eastAsia="zh-CN"/>
        </w:rPr>
      </w:pPr>
      <w:r>
        <w:rPr>
          <w:rFonts w:hint="eastAsia"/>
          <w:lang w:val="en-US" w:eastAsia="zh-CN"/>
        </w:rPr>
        <w:t>点击考场安排记录后面的查看按钮即可查看考场编排明细，并可以下载考场签到表、桌贴、门贴、准考证等信息。用于布置线下考场，组织考试。</w:t>
      </w:r>
    </w:p>
    <w:p>
      <w:pPr>
        <w:rPr>
          <w:rFonts w:hint="default" w:eastAsia="微软雅黑"/>
          <w:lang w:val="en-US" w:eastAsia="zh-CN"/>
        </w:rPr>
      </w:pPr>
    </w:p>
    <w:p/>
    <w:p>
      <w:r>
        <w:drawing>
          <wp:inline distT="0" distB="0" distL="114300" distR="114300">
            <wp:extent cx="5273675" cy="3140710"/>
            <wp:effectExtent l="0" t="0" r="3175" b="254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9"/>
                    <a:stretch>
                      <a:fillRect/>
                    </a:stretch>
                  </pic:blipFill>
                  <pic:spPr>
                    <a:xfrm>
                      <a:off x="0" y="0"/>
                      <a:ext cx="5273675" cy="3140710"/>
                    </a:xfrm>
                    <a:prstGeom prst="rect">
                      <a:avLst/>
                    </a:prstGeom>
                    <a:noFill/>
                    <a:ln w="9525">
                      <a:noFill/>
                    </a:ln>
                  </pic:spPr>
                </pic:pic>
              </a:graphicData>
            </a:graphic>
          </wp:inline>
        </w:drawing>
      </w:r>
    </w:p>
    <w:p/>
    <w:p>
      <w:r>
        <w:rPr>
          <w:rFonts w:hint="eastAsia"/>
          <w:color w:val="FF0000"/>
          <w:lang w:val="en-US" w:eastAsia="zh-CN"/>
        </w:rPr>
        <w:t>注意：准考证下载有2种方式，第一种：试点院校按上述方法批量导出每个考场的准考证，然后发给学生。第二种：让学生登录学生个人空间平台自行下载打印。具体请看学生个人空间操作手册</w:t>
      </w:r>
      <w:bookmarkStart w:id="14" w:name="_GoBack"/>
      <w:bookmarkEnd w:id="14"/>
    </w:p>
    <w:p>
      <w:pPr>
        <w:rPr>
          <w:rFonts w:hint="eastAsia"/>
          <w:lang w:eastAsia="zh-CN"/>
        </w:rPr>
      </w:pPr>
    </w:p>
    <w:p>
      <w:pPr>
        <w:pStyle w:val="3"/>
        <w:numPr>
          <w:ilvl w:val="0"/>
          <w:numId w:val="4"/>
        </w:numPr>
        <w:bidi w:val="0"/>
      </w:pPr>
      <w:bookmarkStart w:id="11" w:name="_Toc1926809584"/>
      <w:r>
        <w:rPr>
          <w:rFonts w:hint="eastAsia"/>
          <w:color w:val="auto"/>
          <w:lang w:val="en-US" w:eastAsia="zh-CN"/>
        </w:rPr>
        <w:t>设置监考老师</w:t>
      </w:r>
      <w:bookmarkEnd w:id="11"/>
    </w:p>
    <w:p>
      <w:pPr>
        <w:ind w:firstLine="420" w:firstLineChars="0"/>
        <w:rPr>
          <w:rFonts w:hint="default"/>
          <w:lang w:val="en-US" w:eastAsia="zh-CN"/>
        </w:rPr>
      </w:pPr>
      <w:r>
        <w:rPr>
          <w:rFonts w:hint="eastAsia"/>
          <w:lang w:val="en-US" w:eastAsia="zh-CN"/>
        </w:rPr>
        <w:t>每场考试需要安排监考人员，设置监考人员有两种方式，一种是由培训评价组织统一安排监考人员，一种是由试点院校自行安排监考人员。若自行安排监考人员可以通过考场编排功能中的批量分配监考人员或点击考场编排记录后的设置按钮来分配监考人员。</w:t>
      </w:r>
    </w:p>
    <w:p>
      <w:r>
        <w:drawing>
          <wp:inline distT="0" distB="0" distL="114300" distR="114300">
            <wp:extent cx="5266690" cy="2962910"/>
            <wp:effectExtent l="0" t="0" r="10160" b="889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p>
      <w:pPr>
        <w:rPr>
          <w:rFonts w:hint="eastAsia"/>
          <w:color w:val="FF0000"/>
          <w:lang w:val="en-US" w:eastAsia="zh-CN"/>
        </w:rPr>
      </w:pPr>
      <w:r>
        <w:rPr>
          <w:rFonts w:hint="eastAsia"/>
          <w:color w:val="FF0000"/>
          <w:lang w:val="en-US" w:eastAsia="zh-CN"/>
        </w:rPr>
        <w:t>注意：设置监考人员前，需要在系统管理—用户管理功能中先为监考人员创建用户信息。创建完成后才可在分配监考人员的功能中选择设置。</w:t>
      </w:r>
    </w:p>
    <w:p>
      <w:pPr>
        <w:widowControl w:val="0"/>
        <w:numPr>
          <w:ilvl w:val="0"/>
          <w:numId w:val="0"/>
        </w:numPr>
        <w:jc w:val="left"/>
        <w:rPr>
          <w:rFonts w:hint="eastAsia"/>
          <w:lang w:eastAsia="zh-Hans"/>
        </w:rPr>
      </w:pPr>
    </w:p>
    <w:p>
      <w:pPr>
        <w:pStyle w:val="3"/>
        <w:numPr>
          <w:ilvl w:val="0"/>
          <w:numId w:val="4"/>
        </w:numPr>
        <w:bidi w:val="0"/>
      </w:pPr>
      <w:bookmarkStart w:id="12" w:name="_Toc1982765175"/>
      <w:r>
        <w:rPr>
          <w:rFonts w:hint="eastAsia"/>
          <w:lang w:val="en-US" w:eastAsia="zh-CN"/>
        </w:rPr>
        <w:t>查看科目成绩</w:t>
      </w:r>
      <w:bookmarkEnd w:id="12"/>
    </w:p>
    <w:p>
      <w:pPr>
        <w:ind w:firstLine="420" w:firstLineChars="0"/>
        <w:rPr>
          <w:rFonts w:hint="eastAsia"/>
          <w:lang w:val="en-US" w:eastAsia="zh-CN"/>
        </w:rPr>
      </w:pPr>
      <w:r>
        <w:rPr>
          <w:rFonts w:hint="eastAsia"/>
          <w:lang w:val="en-US" w:eastAsia="zh-CN"/>
        </w:rPr>
        <w:t>考试结束后，培训评价组织会在成绩登记时间范围内，将阅卷后的考试成绩结果，按科目导入到科目成绩栏目里面来。届时可以在此查看学生的各科目的考试最终成绩。成绩导入后会有个成绩公示期（具体看考试计划设置的公示期时间）。公示期开始后学生可以登录学生个人平台查看自己的考试成绩。若对成绩有疑问可以联系培训评价组织查证。若真有问题，培训评价组织可以针对修改对应的成绩。若超过公示期没异议，则成绩会永久锁定，作为最终考试结果保存并公示。</w:t>
      </w:r>
    </w:p>
    <w:p>
      <w:r>
        <w:drawing>
          <wp:inline distT="0" distB="0" distL="114300" distR="114300">
            <wp:extent cx="5266690" cy="2962910"/>
            <wp:effectExtent l="0" t="0" r="10160" b="889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p>
      <w:pPr>
        <w:rPr>
          <w:rFonts w:hint="default"/>
          <w:lang w:val="en-US" w:eastAsia="zh-CN"/>
        </w:rPr>
      </w:pPr>
    </w:p>
    <w:p>
      <w:pPr>
        <w:pStyle w:val="3"/>
        <w:numPr>
          <w:ilvl w:val="0"/>
          <w:numId w:val="4"/>
        </w:numPr>
        <w:bidi w:val="0"/>
      </w:pPr>
      <w:bookmarkStart w:id="13" w:name="_Toc1830545726"/>
      <w:r>
        <w:rPr>
          <w:rFonts w:hint="eastAsia"/>
          <w:lang w:val="en-US" w:eastAsia="zh-CN"/>
        </w:rPr>
        <w:t>查看考证结果</w:t>
      </w:r>
      <w:bookmarkEnd w:id="13"/>
    </w:p>
    <w:p>
      <w:pPr>
        <w:ind w:firstLine="420" w:firstLineChars="0"/>
        <w:rPr>
          <w:rFonts w:hint="eastAsia"/>
          <w:lang w:val="en-US" w:eastAsia="zh-CN"/>
        </w:rPr>
      </w:pPr>
      <w:r>
        <w:rPr>
          <w:rFonts w:hint="eastAsia"/>
          <w:lang w:val="en-US" w:eastAsia="zh-CN"/>
        </w:rPr>
        <w:t>成绩登记结束后，可以在考证结果中查询到学生报考的证书最终的通过状态。考证结果是根据考试计划设置的规则和学生考试科目的成绩来判定最终是否通过了证书考核的。通过证书考核的学生，将会自动生成证书发放记录，待培训评价组织、考核站点双方确认签发后，学生就可以在平台上查询到自己的电子证书了。</w:t>
      </w:r>
    </w:p>
    <w:p>
      <w:pPr>
        <w:rPr>
          <w:rFonts w:hint="default"/>
          <w:b/>
          <w:bCs/>
          <w:color w:val="FF0000"/>
          <w:lang w:val="en-US" w:eastAsia="zh-CN"/>
        </w:rPr>
      </w:pPr>
      <w:r>
        <w:drawing>
          <wp:inline distT="0" distB="0" distL="114300" distR="114300">
            <wp:extent cx="5262880" cy="2674620"/>
            <wp:effectExtent l="0" t="0" r="13970" b="1143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2"/>
                    <a:stretch>
                      <a:fillRect/>
                    </a:stretch>
                  </pic:blipFill>
                  <pic:spPr>
                    <a:xfrm>
                      <a:off x="0" y="0"/>
                      <a:ext cx="5262880" cy="267462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2000019F" w:csb1="4F010000"/>
  </w:font>
  <w:font w:name="Arial">
    <w:panose1 w:val="020B0604020202020204"/>
    <w:charset w:val="00"/>
    <w:family w:val="auto"/>
    <w:pitch w:val="default"/>
    <w:sig w:usb0="E0002EFF" w:usb1="C000785B" w:usb2="00000009" w:usb3="00000000" w:csb0="400001FF" w:csb1="FFFF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7AE9EAC"/>
    <w:multiLevelType w:val="singleLevel"/>
    <w:tmpl w:val="D7AE9EAC"/>
    <w:lvl w:ilvl="0" w:tentative="0">
      <w:start w:val="1"/>
      <w:numFmt w:val="bullet"/>
      <w:lvlText w:val=""/>
      <w:lvlJc w:val="left"/>
      <w:pPr>
        <w:ind w:left="420" w:hanging="420"/>
      </w:pPr>
      <w:rPr>
        <w:rFonts w:hint="default" w:ascii="Wingdings" w:hAnsi="Wingdings"/>
      </w:rPr>
    </w:lvl>
  </w:abstractNum>
  <w:abstractNum w:abstractNumId="1">
    <w:nsid w:val="D85BB80F"/>
    <w:multiLevelType w:val="singleLevel"/>
    <w:tmpl w:val="D85BB80F"/>
    <w:lvl w:ilvl="0" w:tentative="0">
      <w:start w:val="1"/>
      <w:numFmt w:val="chineseCounting"/>
      <w:suff w:val="nothing"/>
      <w:lvlText w:val="%1、"/>
      <w:lvlJc w:val="left"/>
      <w:rPr>
        <w:rFonts w:hint="eastAsia"/>
      </w:rPr>
    </w:lvl>
  </w:abstractNum>
  <w:abstractNum w:abstractNumId="2">
    <w:nsid w:val="FEBDB949"/>
    <w:multiLevelType w:val="singleLevel"/>
    <w:tmpl w:val="FEBDB949"/>
    <w:lvl w:ilvl="0" w:tentative="0">
      <w:start w:val="1"/>
      <w:numFmt w:val="bullet"/>
      <w:lvlText w:val=""/>
      <w:lvlJc w:val="left"/>
      <w:pPr>
        <w:ind w:left="420" w:hanging="420"/>
      </w:pPr>
      <w:rPr>
        <w:rFonts w:hint="default" w:ascii="Wingdings" w:hAnsi="Wingdings"/>
      </w:rPr>
    </w:lvl>
  </w:abstractNum>
  <w:abstractNum w:abstractNumId="3">
    <w:nsid w:val="09131CDF"/>
    <w:multiLevelType w:val="singleLevel"/>
    <w:tmpl w:val="09131CDF"/>
    <w:lvl w:ilvl="0" w:tentative="0">
      <w:start w:val="1"/>
      <w:numFmt w:val="bullet"/>
      <w:lvlText w:val=""/>
      <w:lvlJc w:val="left"/>
      <w:pPr>
        <w:ind w:left="420" w:hanging="420"/>
      </w:pPr>
      <w:rPr>
        <w:rFonts w:hint="default" w:ascii="Wingdings" w:hAnsi="Wingdings"/>
      </w:rPr>
    </w:lvl>
  </w:abstractNum>
  <w:abstractNum w:abstractNumId="4">
    <w:nsid w:val="17B4FE73"/>
    <w:multiLevelType w:val="singleLevel"/>
    <w:tmpl w:val="17B4FE73"/>
    <w:lvl w:ilvl="0" w:tentative="0">
      <w:start w:val="1"/>
      <w:numFmt w:val="decimal"/>
      <w:lvlText w:val="%1."/>
      <w:lvlJc w:val="left"/>
      <w:pPr>
        <w:tabs>
          <w:tab w:val="left" w:pos="312"/>
        </w:tabs>
      </w:pPr>
    </w:lvl>
  </w:abstractNum>
  <w:abstractNum w:abstractNumId="5">
    <w:nsid w:val="189289FE"/>
    <w:multiLevelType w:val="singleLevel"/>
    <w:tmpl w:val="189289FE"/>
    <w:lvl w:ilvl="0" w:tentative="0">
      <w:start w:val="2"/>
      <w:numFmt w:val="decimal"/>
      <w:lvlText w:val="%1."/>
      <w:lvlJc w:val="left"/>
      <w:pPr>
        <w:tabs>
          <w:tab w:val="left" w:pos="312"/>
        </w:tabs>
      </w:pPr>
    </w:lvl>
  </w:abstractNum>
  <w:abstractNum w:abstractNumId="6">
    <w:nsid w:val="18ED07ED"/>
    <w:multiLevelType w:val="singleLevel"/>
    <w:tmpl w:val="18ED07ED"/>
    <w:lvl w:ilvl="0" w:tentative="0">
      <w:start w:val="1"/>
      <w:numFmt w:val="bullet"/>
      <w:lvlText w:val=""/>
      <w:lvlJc w:val="left"/>
      <w:pPr>
        <w:ind w:left="420" w:hanging="420"/>
      </w:pPr>
      <w:rPr>
        <w:rFonts w:hint="default" w:ascii="Wingdings" w:hAnsi="Wingdings"/>
      </w:rPr>
    </w:lvl>
  </w:abstractNum>
  <w:abstractNum w:abstractNumId="7">
    <w:nsid w:val="55E107F3"/>
    <w:multiLevelType w:val="multilevel"/>
    <w:tmpl w:val="55E107F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8">
    <w:nsid w:val="598145DA"/>
    <w:multiLevelType w:val="singleLevel"/>
    <w:tmpl w:val="598145DA"/>
    <w:lvl w:ilvl="0" w:tentative="0">
      <w:start w:val="1"/>
      <w:numFmt w:val="bullet"/>
      <w:lvlText w:val=""/>
      <w:lvlJc w:val="left"/>
      <w:pPr>
        <w:ind w:left="420" w:hanging="420"/>
      </w:pPr>
      <w:rPr>
        <w:rFonts w:hint="default" w:ascii="Wingdings" w:hAnsi="Wingdings"/>
      </w:rPr>
    </w:lvl>
  </w:abstractNum>
  <w:num w:numId="1">
    <w:abstractNumId w:val="1"/>
  </w:num>
  <w:num w:numId="2">
    <w:abstractNumId w:val="4"/>
  </w:num>
  <w:num w:numId="3">
    <w:abstractNumId w:val="3"/>
  </w:num>
  <w:num w:numId="4">
    <w:abstractNumId w:val="5"/>
  </w:num>
  <w:num w:numId="5">
    <w:abstractNumId w:val="7"/>
  </w:num>
  <w:num w:numId="6">
    <w:abstractNumId w:val="6"/>
  </w:num>
  <w:num w:numId="7">
    <w:abstractNumId w:val="0"/>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3320BB"/>
    <w:rsid w:val="004C1208"/>
    <w:rsid w:val="00AB140A"/>
    <w:rsid w:val="013F10A4"/>
    <w:rsid w:val="02FC0EBD"/>
    <w:rsid w:val="034E2EE5"/>
    <w:rsid w:val="043C523F"/>
    <w:rsid w:val="055D2378"/>
    <w:rsid w:val="057FADDB"/>
    <w:rsid w:val="062536A1"/>
    <w:rsid w:val="068232E2"/>
    <w:rsid w:val="06883183"/>
    <w:rsid w:val="075F1368"/>
    <w:rsid w:val="07B92B03"/>
    <w:rsid w:val="080329F1"/>
    <w:rsid w:val="085A0E23"/>
    <w:rsid w:val="08CF7CDA"/>
    <w:rsid w:val="0A366E16"/>
    <w:rsid w:val="0AC34224"/>
    <w:rsid w:val="0B032F4D"/>
    <w:rsid w:val="0B2D3CB4"/>
    <w:rsid w:val="0C286E8D"/>
    <w:rsid w:val="0DE47377"/>
    <w:rsid w:val="0DE61DD4"/>
    <w:rsid w:val="0DEC2384"/>
    <w:rsid w:val="0EE6438E"/>
    <w:rsid w:val="0F584A79"/>
    <w:rsid w:val="108E1572"/>
    <w:rsid w:val="132869C8"/>
    <w:rsid w:val="134E7292"/>
    <w:rsid w:val="15CD2D48"/>
    <w:rsid w:val="16441324"/>
    <w:rsid w:val="166854B5"/>
    <w:rsid w:val="173968BE"/>
    <w:rsid w:val="17742ADD"/>
    <w:rsid w:val="17A46D1A"/>
    <w:rsid w:val="18450F77"/>
    <w:rsid w:val="188170E7"/>
    <w:rsid w:val="1A026DC7"/>
    <w:rsid w:val="1A0B67FA"/>
    <w:rsid w:val="1B4C0513"/>
    <w:rsid w:val="1B7951D1"/>
    <w:rsid w:val="1BB850FE"/>
    <w:rsid w:val="1BD212A0"/>
    <w:rsid w:val="1C0B653A"/>
    <w:rsid w:val="1C4B2D07"/>
    <w:rsid w:val="1D106BDB"/>
    <w:rsid w:val="1D826476"/>
    <w:rsid w:val="1DFB2B54"/>
    <w:rsid w:val="1E185632"/>
    <w:rsid w:val="1E7C3AAA"/>
    <w:rsid w:val="1E8A1BAB"/>
    <w:rsid w:val="1EF4312F"/>
    <w:rsid w:val="20241165"/>
    <w:rsid w:val="21D152AD"/>
    <w:rsid w:val="23F14066"/>
    <w:rsid w:val="2531220E"/>
    <w:rsid w:val="25B8743B"/>
    <w:rsid w:val="25F01F44"/>
    <w:rsid w:val="26336611"/>
    <w:rsid w:val="27545C03"/>
    <w:rsid w:val="27D032AB"/>
    <w:rsid w:val="27E236FA"/>
    <w:rsid w:val="27F618A9"/>
    <w:rsid w:val="27F94774"/>
    <w:rsid w:val="286368A5"/>
    <w:rsid w:val="29780AC9"/>
    <w:rsid w:val="29D11187"/>
    <w:rsid w:val="2A75558E"/>
    <w:rsid w:val="2A9A7668"/>
    <w:rsid w:val="2AA81F36"/>
    <w:rsid w:val="2CD40C87"/>
    <w:rsid w:val="2D1D6083"/>
    <w:rsid w:val="2EEC5343"/>
    <w:rsid w:val="2F437F70"/>
    <w:rsid w:val="2F5806F1"/>
    <w:rsid w:val="2F990E35"/>
    <w:rsid w:val="2F9B5AD3"/>
    <w:rsid w:val="323320BB"/>
    <w:rsid w:val="341110C4"/>
    <w:rsid w:val="34DA6123"/>
    <w:rsid w:val="352C5604"/>
    <w:rsid w:val="35561B47"/>
    <w:rsid w:val="36827FE8"/>
    <w:rsid w:val="36920BBC"/>
    <w:rsid w:val="36AD258D"/>
    <w:rsid w:val="36BF7B46"/>
    <w:rsid w:val="37505E33"/>
    <w:rsid w:val="377B6D7E"/>
    <w:rsid w:val="37D51624"/>
    <w:rsid w:val="38302BF4"/>
    <w:rsid w:val="38372265"/>
    <w:rsid w:val="3862273E"/>
    <w:rsid w:val="398D1B67"/>
    <w:rsid w:val="3AEA03D3"/>
    <w:rsid w:val="3BEA152A"/>
    <w:rsid w:val="3D8144A1"/>
    <w:rsid w:val="3DE94995"/>
    <w:rsid w:val="3E456A3F"/>
    <w:rsid w:val="3F661356"/>
    <w:rsid w:val="3FDB9A12"/>
    <w:rsid w:val="40520506"/>
    <w:rsid w:val="41912164"/>
    <w:rsid w:val="419F505F"/>
    <w:rsid w:val="422F7E53"/>
    <w:rsid w:val="427A554A"/>
    <w:rsid w:val="42DB0DB2"/>
    <w:rsid w:val="451C4468"/>
    <w:rsid w:val="467C469C"/>
    <w:rsid w:val="470569AF"/>
    <w:rsid w:val="474133D0"/>
    <w:rsid w:val="47C071A5"/>
    <w:rsid w:val="47DB2722"/>
    <w:rsid w:val="48042D5F"/>
    <w:rsid w:val="486E65F5"/>
    <w:rsid w:val="489654E6"/>
    <w:rsid w:val="491E3F1A"/>
    <w:rsid w:val="493A065E"/>
    <w:rsid w:val="497F7BA8"/>
    <w:rsid w:val="49F42271"/>
    <w:rsid w:val="4B074B57"/>
    <w:rsid w:val="4B0C5DC0"/>
    <w:rsid w:val="4C311B50"/>
    <w:rsid w:val="4CCD2419"/>
    <w:rsid w:val="4D0B4FB1"/>
    <w:rsid w:val="4D134FC2"/>
    <w:rsid w:val="4D2C3F7E"/>
    <w:rsid w:val="4DB87A9D"/>
    <w:rsid w:val="4DB970C0"/>
    <w:rsid w:val="4DBC7BB0"/>
    <w:rsid w:val="4F762150"/>
    <w:rsid w:val="509D7C64"/>
    <w:rsid w:val="50E70B70"/>
    <w:rsid w:val="5137055F"/>
    <w:rsid w:val="51F67A7F"/>
    <w:rsid w:val="52722711"/>
    <w:rsid w:val="52936E9A"/>
    <w:rsid w:val="5413220E"/>
    <w:rsid w:val="54400662"/>
    <w:rsid w:val="54495282"/>
    <w:rsid w:val="54774678"/>
    <w:rsid w:val="54CA32A1"/>
    <w:rsid w:val="55CB0816"/>
    <w:rsid w:val="561535B8"/>
    <w:rsid w:val="58A179BE"/>
    <w:rsid w:val="598A1E6C"/>
    <w:rsid w:val="5AD108F4"/>
    <w:rsid w:val="5B687984"/>
    <w:rsid w:val="5B801A4B"/>
    <w:rsid w:val="5CFC11C5"/>
    <w:rsid w:val="5D633533"/>
    <w:rsid w:val="5D810B0C"/>
    <w:rsid w:val="5E527B42"/>
    <w:rsid w:val="5ED23AA8"/>
    <w:rsid w:val="5F0D7C70"/>
    <w:rsid w:val="61850885"/>
    <w:rsid w:val="61C4005D"/>
    <w:rsid w:val="61DA54B5"/>
    <w:rsid w:val="62152614"/>
    <w:rsid w:val="64826438"/>
    <w:rsid w:val="64CC1960"/>
    <w:rsid w:val="65B866D2"/>
    <w:rsid w:val="65D942F2"/>
    <w:rsid w:val="664D0773"/>
    <w:rsid w:val="67CC6735"/>
    <w:rsid w:val="67FA46A7"/>
    <w:rsid w:val="67FA5733"/>
    <w:rsid w:val="68410539"/>
    <w:rsid w:val="68D94BA1"/>
    <w:rsid w:val="68DC5BB3"/>
    <w:rsid w:val="69023F12"/>
    <w:rsid w:val="69735202"/>
    <w:rsid w:val="69A55CF2"/>
    <w:rsid w:val="69F059D8"/>
    <w:rsid w:val="6A782441"/>
    <w:rsid w:val="6AAF7E08"/>
    <w:rsid w:val="6C500AE3"/>
    <w:rsid w:val="6D9E3B10"/>
    <w:rsid w:val="6DAA1DB6"/>
    <w:rsid w:val="6DF2232B"/>
    <w:rsid w:val="6F9D6796"/>
    <w:rsid w:val="6FA23080"/>
    <w:rsid w:val="70017A54"/>
    <w:rsid w:val="70294C25"/>
    <w:rsid w:val="71BB720B"/>
    <w:rsid w:val="735867AB"/>
    <w:rsid w:val="74410267"/>
    <w:rsid w:val="74EE0FFA"/>
    <w:rsid w:val="753F089D"/>
    <w:rsid w:val="759C070D"/>
    <w:rsid w:val="7936474A"/>
    <w:rsid w:val="794F58C5"/>
    <w:rsid w:val="79A83E9D"/>
    <w:rsid w:val="7A7EFB64"/>
    <w:rsid w:val="7B4A39FE"/>
    <w:rsid w:val="7BC774B3"/>
    <w:rsid w:val="7C062AAB"/>
    <w:rsid w:val="7CDC7100"/>
    <w:rsid w:val="7D105D19"/>
    <w:rsid w:val="7DF44DF0"/>
    <w:rsid w:val="7E0E588A"/>
    <w:rsid w:val="7E2B1383"/>
    <w:rsid w:val="7F77EAB8"/>
    <w:rsid w:val="7F8E4512"/>
    <w:rsid w:val="7FFFA06C"/>
    <w:rsid w:val="AFF36EE1"/>
    <w:rsid w:val="D55FE5EA"/>
    <w:rsid w:val="DBF5A015"/>
    <w:rsid w:val="DFB6CA17"/>
    <w:rsid w:val="EDEABA25"/>
    <w:rsid w:val="F7B63330"/>
    <w:rsid w:val="F7DFF435"/>
    <w:rsid w:val="FAF56C19"/>
    <w:rsid w:val="FBF53086"/>
    <w:rsid w:val="FBF78DF5"/>
    <w:rsid w:val="FD375E76"/>
    <w:rsid w:val="FED3F9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left"/>
    </w:pPr>
    <w:rPr>
      <w:rFonts w:eastAsia="微软雅黑" w:asciiTheme="minorAscii" w:hAnsiTheme="minorAscii" w:cstheme="minorBidi"/>
      <w:kern w:val="2"/>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28"/>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微软雅黑"/>
      <w:b/>
      <w:sz w:val="32"/>
    </w:rPr>
  </w:style>
  <w:style w:type="paragraph" w:styleId="4">
    <w:name w:val="heading 4"/>
    <w:basedOn w:val="1"/>
    <w:next w:val="1"/>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toc 1"/>
    <w:basedOn w:val="1"/>
    <w:next w:val="1"/>
    <w:qFormat/>
    <w:uiPriority w:val="0"/>
  </w:style>
  <w:style w:type="paragraph" w:styleId="6">
    <w:name w:val="toc 2"/>
    <w:basedOn w:val="1"/>
    <w:next w:val="1"/>
    <w:qFormat/>
    <w:uiPriority w:val="0"/>
    <w:pPr>
      <w:ind w:left="420" w:leftChars="200"/>
    </w:p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Hyperlink"/>
    <w:basedOn w:val="9"/>
    <w:qFormat/>
    <w:uiPriority w:val="0"/>
    <w:rPr>
      <w:color w:val="0000FF"/>
      <w:u w:val="single"/>
    </w:rPr>
  </w:style>
  <w:style w:type="paragraph" w:customStyle="1" w:styleId="11">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1975</Words>
  <Characters>2063</Characters>
  <Lines>0</Lines>
  <Paragraphs>0</Paragraphs>
  <TotalTime>4</TotalTime>
  <ScaleCrop>false</ScaleCrop>
  <LinksUpToDate>false</LinksUpToDate>
  <CharactersWithSpaces>2182</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2020-03-06T06:23:00Z</dcterms:created>
  <dc:creator>64879</dc:creator>
  <cp:lastModifiedBy>aaa</cp:lastModifiedBy>
  <dcterms:modified xsi:type="dcterms:W3CDTF">2020-09-03T10:24:42Z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